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3F9" w:rsidRDefault="009523F9" w:rsidP="0041077F">
      <w:pPr>
        <w:spacing w:after="200" w:line="320" w:lineRule="atLeast"/>
        <w:ind w:left="2000" w:hanging="1600"/>
        <w:jc w:val="both"/>
        <w:rPr>
          <w:rFonts w:ascii="Times Roman" w:hAnsi="Times Roman" w:cs="Times Roman"/>
          <w:b/>
          <w:bCs/>
          <w:color w:val="auto"/>
        </w:rPr>
      </w:pPr>
      <w:r>
        <w:rPr>
          <w:rFonts w:ascii="Times Roman" w:hAnsi="Times Roman" w:cs="Times Roman"/>
          <w:b/>
          <w:bCs/>
        </w:rPr>
        <w:t xml:space="preserve">3359-47-11     </w:t>
      </w:r>
      <w:r w:rsidRPr="0041077F">
        <w:rPr>
          <w:rFonts w:ascii="Times Roman" w:hAnsi="Times Roman" w:cs="Times Roman"/>
          <w:b/>
          <w:bCs/>
          <w:color w:val="auto"/>
        </w:rPr>
        <w:t>Protection of human subjects.</w:t>
      </w:r>
    </w:p>
    <w:p w:rsidR="0041077F" w:rsidRPr="0041077F" w:rsidRDefault="0041077F" w:rsidP="0041077F">
      <w:pPr>
        <w:spacing w:after="200" w:line="320" w:lineRule="atLeast"/>
        <w:ind w:left="2000" w:hanging="1600"/>
        <w:jc w:val="both"/>
        <w:rPr>
          <w:rFonts w:ascii="Times Roman" w:hAnsi="Times Roman" w:cs="Times Roman"/>
          <w:color w:val="auto"/>
        </w:rPr>
      </w:pPr>
    </w:p>
    <w:p w:rsidR="009523F9" w:rsidRPr="0041077F" w:rsidRDefault="009523F9" w:rsidP="0041077F">
      <w:pPr>
        <w:spacing w:after="200"/>
        <w:ind w:left="800" w:hanging="500"/>
        <w:jc w:val="both"/>
        <w:rPr>
          <w:rFonts w:ascii="Times Roman" w:hAnsi="Times Roman" w:cs="Times Roman"/>
          <w:color w:val="auto"/>
        </w:rPr>
      </w:pPr>
      <w:r w:rsidRPr="0041077F">
        <w:rPr>
          <w:rFonts w:ascii="Times Roman" w:hAnsi="Times Roman" w:cs="Times Roman"/>
          <w:color w:val="auto"/>
        </w:rPr>
        <w:t>(A) University institutional review board.</w:t>
      </w:r>
    </w:p>
    <w:p w:rsidR="009523F9" w:rsidRPr="0041077F" w:rsidRDefault="009523F9" w:rsidP="0041077F">
      <w:pPr>
        <w:spacing w:after="200"/>
        <w:ind w:left="1200" w:hanging="500"/>
        <w:jc w:val="both"/>
        <w:rPr>
          <w:rFonts w:ascii="Times Roman" w:hAnsi="Times Roman" w:cs="Times Roman"/>
          <w:color w:val="auto"/>
        </w:rPr>
      </w:pPr>
      <w:r w:rsidRPr="0041077F">
        <w:rPr>
          <w:rFonts w:ascii="Times Roman" w:hAnsi="Times Roman" w:cs="Times Roman"/>
          <w:color w:val="auto"/>
        </w:rPr>
        <w:t>(1) A university "Institutional Review Board for the Protection of Human Subjects" (IRB) shall be appointed by the vice president for research and dean of the graduate school. All protocols, projects or proposals prepared by university personnel or university students that involve human subjects shall be reviewed by the IRB.</w:t>
      </w:r>
    </w:p>
    <w:p w:rsidR="009523F9" w:rsidRPr="0041077F" w:rsidRDefault="009523F9" w:rsidP="0041077F">
      <w:pPr>
        <w:spacing w:after="200"/>
        <w:ind w:left="1200" w:hanging="500"/>
        <w:jc w:val="both"/>
        <w:rPr>
          <w:rFonts w:ascii="Times Roman" w:hAnsi="Times Roman" w:cs="Times Roman"/>
          <w:color w:val="auto"/>
        </w:rPr>
      </w:pPr>
      <w:r w:rsidRPr="0041077F">
        <w:rPr>
          <w:rFonts w:ascii="Times Roman" w:hAnsi="Times Roman" w:cs="Times Roman"/>
          <w:color w:val="auto"/>
        </w:rPr>
        <w:t>(2) The IRB shall be composed of at least five members. IRB members shall have varied backgrounds and expertise. Membership shall be diverse, including consideration of race, gender and cultural backgrounds. At least one member shall have nonscientific areas as a primary concern. At least one member will be non-affiliated with the university. Members of the IRB shall be appointed for terms of three years.</w:t>
      </w:r>
    </w:p>
    <w:p w:rsidR="009523F9" w:rsidRPr="0041077F" w:rsidRDefault="009523F9" w:rsidP="0041077F">
      <w:pPr>
        <w:spacing w:after="200"/>
        <w:ind w:left="1200" w:hanging="500"/>
        <w:jc w:val="both"/>
        <w:rPr>
          <w:rFonts w:ascii="Times Roman" w:hAnsi="Times Roman" w:cs="Times Roman"/>
          <w:color w:val="auto"/>
        </w:rPr>
      </w:pPr>
      <w:r w:rsidRPr="0041077F">
        <w:rPr>
          <w:rFonts w:ascii="Times Roman" w:hAnsi="Times Roman" w:cs="Times Roman"/>
          <w:color w:val="auto"/>
        </w:rPr>
        <w:t>(3) The IRB shall develop policies, procedures and programs related to human subject protections at the university of Akron consistent with applicable laws and regulations such as the "Belmont Report," a publication of "The National Commission for the Protection of Human Subjects of Biomedical and Behavioral Research;" 45 C.F.R. 46; and the university's federal-wide assurance. Unless otherwise required by law or applicable regulations, the IRB shall review such policies and procedures annually and implement changes that are appropriate and necessary.</w:t>
      </w:r>
    </w:p>
    <w:p w:rsidR="009523F9" w:rsidRPr="0041077F" w:rsidRDefault="009523F9" w:rsidP="0041077F">
      <w:pPr>
        <w:spacing w:after="200"/>
        <w:ind w:left="1200" w:hanging="500"/>
        <w:jc w:val="both"/>
        <w:rPr>
          <w:rFonts w:ascii="Times Roman" w:hAnsi="Times Roman" w:cs="Times Roman"/>
          <w:color w:val="auto"/>
        </w:rPr>
      </w:pPr>
      <w:r w:rsidRPr="0041077F">
        <w:rPr>
          <w:rFonts w:ascii="Times Roman" w:hAnsi="Times Roman" w:cs="Times Roman"/>
          <w:color w:val="auto"/>
        </w:rPr>
        <w:t>(4) The IRB represents the interests of the subjects, thus has the ultimate authority over human subjects study at the university of Akron. No other university office or official may approve research involving human subjects that has not been approved by the IRB. Research that has been approved by the IRB may be subject to further appropriate review and approval or disapproval by the vice president for research and dean of the graduate school. However, the vice president for research and dean of the graduate school shall not be authorized to approve research if it has not been approved by the IRB.</w:t>
      </w:r>
    </w:p>
    <w:p w:rsidR="009523F9" w:rsidRPr="0041077F" w:rsidRDefault="009523F9" w:rsidP="0041077F">
      <w:pPr>
        <w:spacing w:after="200"/>
        <w:ind w:left="800" w:hanging="500"/>
        <w:jc w:val="both"/>
        <w:rPr>
          <w:rFonts w:ascii="Times Roman" w:hAnsi="Times Roman" w:cs="Times Roman"/>
          <w:color w:val="auto"/>
        </w:rPr>
      </w:pPr>
      <w:r w:rsidRPr="0041077F">
        <w:rPr>
          <w:rFonts w:ascii="Times Roman" w:hAnsi="Times Roman" w:cs="Times Roman"/>
          <w:color w:val="auto"/>
        </w:rPr>
        <w:t>(B) IRB chair.</w:t>
      </w:r>
    </w:p>
    <w:p w:rsidR="009523F9" w:rsidRPr="0041077F" w:rsidRDefault="009523F9" w:rsidP="0041077F">
      <w:pPr>
        <w:spacing w:after="200"/>
        <w:ind w:left="1200" w:hanging="500"/>
        <w:jc w:val="both"/>
        <w:rPr>
          <w:rFonts w:ascii="Times Roman" w:hAnsi="Times Roman" w:cs="Times Roman"/>
          <w:color w:val="auto"/>
        </w:rPr>
      </w:pPr>
      <w:r w:rsidRPr="0041077F">
        <w:rPr>
          <w:rFonts w:ascii="Times Roman" w:hAnsi="Times Roman" w:cs="Times Roman"/>
          <w:color w:val="auto"/>
        </w:rPr>
        <w:t>(1) An IRB chair shall be appointed by the vice president for research and dean of the graduate school to implement the human subject protections program at the university of Akron. The chair shall ensure that human subject protection activities are performed at the university of Akron in accordance with approved policies and regulatory requirements.</w:t>
      </w:r>
    </w:p>
    <w:p w:rsidR="009523F9" w:rsidRPr="0041077F" w:rsidRDefault="009523F9" w:rsidP="0041077F">
      <w:pPr>
        <w:spacing w:after="200"/>
        <w:ind w:left="1200" w:hanging="500"/>
        <w:jc w:val="both"/>
        <w:rPr>
          <w:rFonts w:ascii="Times Roman" w:hAnsi="Times Roman" w:cs="Times Roman"/>
          <w:color w:val="auto"/>
        </w:rPr>
      </w:pPr>
      <w:r w:rsidRPr="0041077F">
        <w:rPr>
          <w:rFonts w:ascii="Times Roman" w:hAnsi="Times Roman" w:cs="Times Roman"/>
          <w:color w:val="auto"/>
        </w:rPr>
        <w:t>(2) Duties of the chair.</w:t>
      </w:r>
    </w:p>
    <w:p w:rsidR="0041077F" w:rsidRDefault="009523F9" w:rsidP="0041077F">
      <w:pPr>
        <w:spacing w:after="200"/>
        <w:ind w:left="1600" w:hanging="500"/>
        <w:jc w:val="both"/>
        <w:rPr>
          <w:rFonts w:ascii="Times Roman" w:hAnsi="Times Roman" w:cs="Times Roman"/>
          <w:color w:val="auto"/>
        </w:rPr>
      </w:pPr>
      <w:r w:rsidRPr="0041077F">
        <w:rPr>
          <w:rFonts w:ascii="Times Roman" w:hAnsi="Times Roman" w:cs="Times Roman"/>
          <w:color w:val="auto"/>
        </w:rPr>
        <w:t xml:space="preserve">(a) Establish and implement, in conjunction with the university IRB, written policies </w:t>
      </w:r>
    </w:p>
    <w:p w:rsidR="0041077F" w:rsidRDefault="0041077F" w:rsidP="0041077F">
      <w:pPr>
        <w:spacing w:after="200"/>
        <w:ind w:left="1600" w:hanging="500"/>
        <w:jc w:val="both"/>
        <w:rPr>
          <w:rFonts w:ascii="Times Roman" w:hAnsi="Times Roman" w:cs="Times Roman"/>
          <w:color w:val="auto"/>
        </w:rPr>
      </w:pPr>
    </w:p>
    <w:p w:rsidR="009523F9" w:rsidRPr="0041077F" w:rsidRDefault="009523F9" w:rsidP="0041077F">
      <w:pPr>
        <w:spacing w:after="200"/>
        <w:ind w:left="1600"/>
        <w:jc w:val="both"/>
        <w:rPr>
          <w:rFonts w:ascii="Times Roman" w:hAnsi="Times Roman" w:cs="Times Roman"/>
          <w:color w:val="auto"/>
        </w:rPr>
      </w:pPr>
      <w:r w:rsidRPr="0041077F">
        <w:rPr>
          <w:rFonts w:ascii="Times Roman" w:hAnsi="Times Roman" w:cs="Times Roman"/>
          <w:color w:val="auto"/>
        </w:rPr>
        <w:t>and procedures for the protection of human subjects.</w:t>
      </w:r>
    </w:p>
    <w:p w:rsidR="009523F9" w:rsidRPr="0041077F" w:rsidRDefault="009523F9" w:rsidP="0041077F">
      <w:pPr>
        <w:spacing w:after="200"/>
        <w:ind w:left="1600" w:hanging="500"/>
        <w:jc w:val="both"/>
        <w:rPr>
          <w:rFonts w:ascii="Times Roman" w:hAnsi="Times Roman" w:cs="Times Roman"/>
          <w:color w:val="auto"/>
        </w:rPr>
      </w:pPr>
      <w:r w:rsidRPr="0041077F">
        <w:rPr>
          <w:rFonts w:ascii="Times Roman" w:hAnsi="Times Roman" w:cs="Times Roman"/>
          <w:color w:val="auto"/>
        </w:rPr>
        <w:lastRenderedPageBreak/>
        <w:t xml:space="preserve">(b) Establish and implement, in conjunction with the university IRB, training and educational experiences for university personnel and students on the protection of human subjects. </w:t>
      </w:r>
    </w:p>
    <w:p w:rsidR="009523F9" w:rsidRPr="0041077F" w:rsidRDefault="009523F9" w:rsidP="0041077F">
      <w:pPr>
        <w:spacing w:after="200"/>
        <w:ind w:left="1600" w:hanging="500"/>
        <w:jc w:val="both"/>
        <w:rPr>
          <w:rFonts w:ascii="Times Roman" w:hAnsi="Times Roman" w:cs="Times Roman"/>
          <w:color w:val="auto"/>
        </w:rPr>
      </w:pPr>
      <w:r w:rsidRPr="0041077F">
        <w:rPr>
          <w:rFonts w:ascii="Times Roman" w:hAnsi="Times Roman" w:cs="Times Roman"/>
          <w:color w:val="auto"/>
        </w:rPr>
        <w:t>(c) Investigate deviations from human subject protections policies and procedures and implement corrective actions as necessary.</w:t>
      </w:r>
    </w:p>
    <w:p w:rsidR="009523F9" w:rsidRPr="0041077F" w:rsidRDefault="009523F9" w:rsidP="0041077F">
      <w:pPr>
        <w:spacing w:after="200"/>
        <w:ind w:left="1600" w:hanging="500"/>
        <w:jc w:val="both"/>
        <w:rPr>
          <w:rFonts w:ascii="Times Roman" w:hAnsi="Times Roman" w:cs="Times Roman"/>
          <w:color w:val="auto"/>
        </w:rPr>
      </w:pPr>
      <w:r w:rsidRPr="0041077F">
        <w:rPr>
          <w:rFonts w:ascii="Times Roman" w:hAnsi="Times Roman" w:cs="Times Roman"/>
          <w:color w:val="auto"/>
        </w:rPr>
        <w:t>(d) Approve or disapprove changes in human subject protections policies and procedures with the advice and consent of the university IRB.</w:t>
      </w:r>
    </w:p>
    <w:p w:rsidR="009523F9" w:rsidRPr="0041077F" w:rsidRDefault="009523F9" w:rsidP="0041077F">
      <w:pPr>
        <w:spacing w:after="200"/>
        <w:ind w:left="1600" w:hanging="500"/>
        <w:jc w:val="both"/>
        <w:rPr>
          <w:rFonts w:ascii="Times Roman" w:hAnsi="Times Roman" w:cs="Times Roman"/>
          <w:color w:val="auto"/>
        </w:rPr>
      </w:pPr>
      <w:r w:rsidRPr="0041077F">
        <w:rPr>
          <w:rFonts w:ascii="Times Roman" w:hAnsi="Times Roman" w:cs="Times Roman"/>
          <w:color w:val="auto"/>
        </w:rPr>
        <w:t>(e) Provide a written briefing on the human subject protections program at the university of Akron to the vice president for research and dean of the graduate school on an annual basis. In addition the chair, or designee, shall make monthly reports of activities to the IRB.</w:t>
      </w:r>
    </w:p>
    <w:p w:rsidR="009523F9" w:rsidRPr="0041077F" w:rsidRDefault="009523F9" w:rsidP="0041077F">
      <w:pPr>
        <w:spacing w:after="200"/>
        <w:ind w:left="800" w:hanging="500"/>
        <w:jc w:val="both"/>
        <w:rPr>
          <w:rFonts w:ascii="Times Roman" w:hAnsi="Times Roman" w:cs="Times Roman"/>
          <w:color w:val="auto"/>
        </w:rPr>
      </w:pPr>
      <w:r w:rsidRPr="0041077F">
        <w:rPr>
          <w:rFonts w:ascii="Times Roman" w:hAnsi="Times Roman" w:cs="Times Roman"/>
          <w:color w:val="auto"/>
        </w:rPr>
        <w:t>(C) Compliance with human subject protection laws, regulations and policies.</w:t>
      </w:r>
    </w:p>
    <w:p w:rsidR="009523F9" w:rsidRPr="0041077F" w:rsidRDefault="009523F9" w:rsidP="0041077F">
      <w:pPr>
        <w:spacing w:after="200"/>
        <w:ind w:left="1200" w:hanging="500"/>
        <w:jc w:val="both"/>
        <w:rPr>
          <w:rFonts w:ascii="Times Roman" w:hAnsi="Times Roman" w:cs="Times Roman"/>
          <w:color w:val="auto"/>
        </w:rPr>
      </w:pPr>
      <w:r w:rsidRPr="0041077F">
        <w:rPr>
          <w:rFonts w:ascii="Times Roman" w:hAnsi="Times Roman" w:cs="Times Roman"/>
          <w:color w:val="auto"/>
        </w:rPr>
        <w:t>(1) All university personnel and students shall cooperate fully with the policies and procedures implemented by the university IRB to provide protections to human subjects.</w:t>
      </w:r>
    </w:p>
    <w:p w:rsidR="009523F9" w:rsidRPr="0041077F" w:rsidRDefault="009523F9" w:rsidP="0041077F">
      <w:pPr>
        <w:spacing w:after="200"/>
        <w:ind w:left="1200" w:hanging="500"/>
        <w:jc w:val="both"/>
        <w:rPr>
          <w:rFonts w:ascii="Times Roman" w:hAnsi="Times Roman" w:cs="Times Roman"/>
          <w:color w:val="auto"/>
        </w:rPr>
      </w:pPr>
      <w:r w:rsidRPr="0041077F">
        <w:rPr>
          <w:rFonts w:ascii="Times Roman" w:hAnsi="Times Roman" w:cs="Times Roman"/>
          <w:color w:val="auto"/>
        </w:rPr>
        <w:t xml:space="preserve">(2) Violations of law, regulation, or university policies respecting human subject protections will be considered serious matters, which may warrant sanctions or more serious action, such as suspension of research protocols, termination of research protocols, and loss of research privileges, as the situation may warrant, including investigation for scientific misconduct. </w:t>
      </w:r>
    </w:p>
    <w:p w:rsidR="009523F9" w:rsidRPr="0041077F" w:rsidRDefault="009523F9" w:rsidP="0041077F">
      <w:pPr>
        <w:spacing w:after="200"/>
        <w:ind w:left="800" w:hanging="500"/>
        <w:jc w:val="both"/>
        <w:rPr>
          <w:rFonts w:ascii="Times Roman" w:hAnsi="Times Roman" w:cs="Times Roman"/>
          <w:color w:val="auto"/>
        </w:rPr>
      </w:pPr>
      <w:r w:rsidRPr="0041077F">
        <w:rPr>
          <w:rFonts w:ascii="Times Roman" w:hAnsi="Times Roman" w:cs="Times Roman"/>
          <w:color w:val="auto"/>
        </w:rPr>
        <w:t>(D) An IRB policies and procedures manual as required by federal regulation shall be available to all researchers in print as well as through a link at the office of research administration website.</w:t>
      </w:r>
    </w:p>
    <w:p w:rsidR="003D0387" w:rsidRDefault="003D0387" w:rsidP="0041077F">
      <w:pPr>
        <w:widowControl/>
        <w:rPr>
          <w:rFonts w:ascii="Times New Roman" w:hAnsi="Times New Roman" w:cs="Times New Roman"/>
          <w:color w:val="auto"/>
        </w:rPr>
      </w:pPr>
    </w:p>
    <w:p w:rsidR="0041077F" w:rsidRDefault="0041077F" w:rsidP="0041077F">
      <w:pPr>
        <w:widowControl/>
        <w:rPr>
          <w:rFonts w:ascii="Times New Roman" w:hAnsi="Times New Roman" w:cs="Times New Roman"/>
          <w:color w:val="auto"/>
        </w:rPr>
      </w:pPr>
      <w:bookmarkStart w:id="0" w:name="_GoBack"/>
      <w:bookmarkEnd w:id="0"/>
      <w:r w:rsidRPr="0041077F">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1077F">
        <w:rPr>
          <w:rFonts w:ascii="Times New Roman" w:hAnsi="Times New Roman" w:cs="Times New Roman"/>
          <w:color w:val="auto"/>
        </w:rPr>
        <w:t>3359-47-11</w:t>
      </w:r>
    </w:p>
    <w:p w:rsidR="0041077F" w:rsidRPr="0041077F" w:rsidRDefault="0041077F" w:rsidP="0041077F">
      <w:pPr>
        <w:widowControl/>
        <w:rPr>
          <w:rFonts w:ascii="Times New Roman" w:hAnsi="Times New Roman" w:cs="Times New Roman"/>
          <w:color w:val="auto"/>
        </w:rPr>
      </w:pPr>
    </w:p>
    <w:p w:rsidR="0041077F" w:rsidRDefault="0041077F" w:rsidP="0041077F">
      <w:pPr>
        <w:widowControl/>
        <w:rPr>
          <w:rFonts w:ascii="Times New Roman" w:hAnsi="Times New Roman" w:cs="Times New Roman"/>
          <w:color w:val="auto"/>
        </w:rPr>
      </w:pPr>
      <w:r w:rsidRPr="0041077F">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1077F">
        <w:rPr>
          <w:rFonts w:ascii="Times New Roman" w:hAnsi="Times New Roman" w:cs="Times New Roman"/>
          <w:color w:val="auto"/>
        </w:rPr>
        <w:t>02/01/2015</w:t>
      </w:r>
    </w:p>
    <w:p w:rsidR="0041077F" w:rsidRPr="0041077F" w:rsidRDefault="0041077F" w:rsidP="0041077F">
      <w:pPr>
        <w:widowControl/>
        <w:rPr>
          <w:rFonts w:ascii="Times New Roman" w:hAnsi="Times New Roman" w:cs="Times New Roman"/>
          <w:color w:val="auto"/>
        </w:rPr>
      </w:pPr>
    </w:p>
    <w:p w:rsidR="0041077F" w:rsidRPr="0041077F" w:rsidRDefault="0041077F" w:rsidP="0041077F">
      <w:pPr>
        <w:widowControl/>
        <w:rPr>
          <w:rFonts w:ascii="Times New Roman" w:hAnsi="Times New Roman" w:cs="Times New Roman"/>
          <w:color w:val="auto"/>
          <w:u w:val="single"/>
        </w:rPr>
      </w:pPr>
      <w:r w:rsidRPr="0041077F">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41077F" w:rsidRPr="0041077F" w:rsidRDefault="0041077F" w:rsidP="0041077F">
      <w:pPr>
        <w:widowControl/>
        <w:ind w:left="3600" w:firstLine="720"/>
        <w:rPr>
          <w:rFonts w:ascii="Times New Roman" w:hAnsi="Times New Roman" w:cs="Times New Roman"/>
          <w:color w:val="auto"/>
        </w:rPr>
      </w:pPr>
      <w:r w:rsidRPr="0041077F">
        <w:rPr>
          <w:rFonts w:ascii="Times New Roman" w:hAnsi="Times New Roman" w:cs="Times New Roman"/>
          <w:color w:val="auto"/>
        </w:rPr>
        <w:t>Ted A. Mallo</w:t>
      </w:r>
    </w:p>
    <w:p w:rsidR="0041077F" w:rsidRPr="0041077F" w:rsidRDefault="0041077F" w:rsidP="0041077F">
      <w:pPr>
        <w:widowControl/>
        <w:ind w:left="3600" w:firstLine="720"/>
        <w:rPr>
          <w:rFonts w:ascii="Times New Roman" w:hAnsi="Times New Roman" w:cs="Times New Roman"/>
          <w:color w:val="auto"/>
        </w:rPr>
      </w:pPr>
      <w:r w:rsidRPr="0041077F">
        <w:rPr>
          <w:rFonts w:ascii="Times New Roman" w:hAnsi="Times New Roman" w:cs="Times New Roman"/>
          <w:color w:val="auto"/>
        </w:rPr>
        <w:t>Secretary</w:t>
      </w:r>
    </w:p>
    <w:p w:rsidR="0041077F" w:rsidRDefault="0041077F" w:rsidP="0041077F">
      <w:pPr>
        <w:widowControl/>
        <w:ind w:left="3600" w:firstLine="720"/>
        <w:rPr>
          <w:rFonts w:ascii="Times New Roman" w:hAnsi="Times New Roman" w:cs="Times New Roman"/>
          <w:color w:val="auto"/>
        </w:rPr>
      </w:pPr>
      <w:r w:rsidRPr="0041077F">
        <w:rPr>
          <w:rFonts w:ascii="Times New Roman" w:hAnsi="Times New Roman" w:cs="Times New Roman"/>
          <w:color w:val="auto"/>
        </w:rPr>
        <w:t>Board of Trustees</w:t>
      </w:r>
    </w:p>
    <w:p w:rsidR="0041077F" w:rsidRPr="0041077F" w:rsidRDefault="0041077F" w:rsidP="0041077F">
      <w:pPr>
        <w:widowControl/>
        <w:ind w:left="3600" w:firstLine="720"/>
        <w:rPr>
          <w:rFonts w:ascii="Times New Roman" w:hAnsi="Times New Roman" w:cs="Times New Roman"/>
          <w:color w:val="auto"/>
        </w:rPr>
      </w:pPr>
    </w:p>
    <w:p w:rsidR="0041077F" w:rsidRDefault="0041077F" w:rsidP="0041077F">
      <w:pPr>
        <w:widowControl/>
        <w:rPr>
          <w:rFonts w:ascii="Times New Roman" w:hAnsi="Times New Roman" w:cs="Times New Roman"/>
          <w:color w:val="auto"/>
        </w:rPr>
      </w:pPr>
      <w:r w:rsidRPr="0041077F">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1077F">
        <w:rPr>
          <w:rFonts w:ascii="Times New Roman" w:hAnsi="Times New Roman" w:cs="Times New Roman"/>
          <w:color w:val="auto"/>
        </w:rPr>
        <w:t>111.15</w:t>
      </w:r>
    </w:p>
    <w:p w:rsidR="0041077F" w:rsidRPr="0041077F" w:rsidRDefault="0041077F" w:rsidP="0041077F">
      <w:pPr>
        <w:widowControl/>
        <w:rPr>
          <w:rFonts w:ascii="Times New Roman" w:hAnsi="Times New Roman" w:cs="Times New Roman"/>
          <w:color w:val="auto"/>
        </w:rPr>
      </w:pPr>
    </w:p>
    <w:p w:rsidR="0041077F" w:rsidRPr="0041077F" w:rsidRDefault="0041077F" w:rsidP="0041077F">
      <w:pPr>
        <w:widowControl/>
        <w:rPr>
          <w:rFonts w:ascii="Times New Roman" w:hAnsi="Times New Roman" w:cs="Times New Roman"/>
          <w:color w:val="auto"/>
        </w:rPr>
      </w:pPr>
      <w:r w:rsidRPr="0041077F">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1077F">
        <w:rPr>
          <w:rFonts w:ascii="Times New Roman" w:hAnsi="Times New Roman" w:cs="Times New Roman"/>
          <w:color w:val="auto"/>
        </w:rPr>
        <w:t>3359.01</w:t>
      </w:r>
    </w:p>
    <w:p w:rsidR="0041077F" w:rsidRDefault="0041077F" w:rsidP="0041077F">
      <w:pPr>
        <w:widowControl/>
        <w:rPr>
          <w:rFonts w:ascii="Times New Roman" w:hAnsi="Times New Roman" w:cs="Times New Roman"/>
          <w:color w:val="auto"/>
        </w:rPr>
      </w:pPr>
    </w:p>
    <w:p w:rsidR="0041077F" w:rsidRPr="0041077F" w:rsidRDefault="0041077F" w:rsidP="0041077F">
      <w:pPr>
        <w:widowControl/>
        <w:rPr>
          <w:rFonts w:ascii="Times New Roman" w:hAnsi="Times New Roman" w:cs="Times New Roman"/>
          <w:color w:val="auto"/>
        </w:rPr>
      </w:pPr>
      <w:r w:rsidRPr="0041077F">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1077F">
        <w:rPr>
          <w:rFonts w:ascii="Times New Roman" w:hAnsi="Times New Roman" w:cs="Times New Roman"/>
          <w:color w:val="auto"/>
        </w:rPr>
        <w:t>3359.01</w:t>
      </w:r>
    </w:p>
    <w:p w:rsidR="0041077F" w:rsidRDefault="0041077F" w:rsidP="0041077F">
      <w:pPr>
        <w:jc w:val="both"/>
        <w:rPr>
          <w:rFonts w:ascii="Times New Roman" w:hAnsi="Times New Roman" w:cs="Times New Roman"/>
          <w:color w:val="auto"/>
        </w:rPr>
      </w:pPr>
    </w:p>
    <w:p w:rsidR="0041077F" w:rsidRPr="0041077F" w:rsidRDefault="0041077F" w:rsidP="0041077F">
      <w:pPr>
        <w:jc w:val="both"/>
        <w:rPr>
          <w:rFonts w:ascii="Times New Roman" w:hAnsi="Times New Roman" w:cs="Times New Roman"/>
          <w:color w:val="auto"/>
        </w:rPr>
      </w:pPr>
      <w:r w:rsidRPr="0041077F">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1077F">
        <w:rPr>
          <w:rFonts w:ascii="Times New Roman" w:hAnsi="Times New Roman" w:cs="Times New Roman"/>
          <w:color w:val="auto"/>
        </w:rPr>
        <w:t>10/28/02, 07/03/05, 06/28/12</w:t>
      </w:r>
    </w:p>
    <w:sectPr w:rsidR="0041077F" w:rsidRPr="0041077F" w:rsidSect="003D0387">
      <w:headerReference w:type="default" r:id="rId8"/>
      <w:pgSz w:w="12242" w:h="15842"/>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3F9" w:rsidRDefault="009523F9">
      <w:r>
        <w:separator/>
      </w:r>
    </w:p>
  </w:endnote>
  <w:endnote w:type="continuationSeparator" w:id="0">
    <w:p w:rsidR="009523F9" w:rsidRDefault="0095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3F9" w:rsidRDefault="009523F9">
      <w:r>
        <w:separator/>
      </w:r>
    </w:p>
  </w:footnote>
  <w:footnote w:type="continuationSeparator" w:id="0">
    <w:p w:rsidR="009523F9" w:rsidRDefault="00952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7F" w:rsidRPr="0041077F" w:rsidRDefault="0041077F" w:rsidP="0041077F">
    <w:pPr>
      <w:pStyle w:val="Header"/>
      <w:rPr>
        <w:rFonts w:ascii="Times New Roman" w:hAnsi="Times New Roman" w:cs="Times New Roman"/>
      </w:rPr>
    </w:pPr>
    <w:r w:rsidRPr="0041077F">
      <w:rPr>
        <w:rFonts w:ascii="Times New Roman" w:hAnsi="Times New Roman" w:cs="Times New Roman"/>
      </w:rPr>
      <w:t>3359-47-11</w:t>
    </w:r>
    <w:r w:rsidRPr="0041077F">
      <w:rPr>
        <w:rFonts w:ascii="Times New Roman" w:hAnsi="Times New Roman" w:cs="Times New Roman"/>
      </w:rPr>
      <w:tab/>
    </w:r>
    <w:r w:rsidRPr="0041077F">
      <w:rPr>
        <w:rFonts w:ascii="Times New Roman" w:hAnsi="Times New Roman" w:cs="Times New Roman"/>
      </w:rPr>
      <w:tab/>
    </w:r>
    <w:r w:rsidRPr="0041077F">
      <w:rPr>
        <w:rFonts w:ascii="Times New Roman" w:hAnsi="Times New Roman" w:cs="Times New Roman"/>
      </w:rPr>
      <w:fldChar w:fldCharType="begin"/>
    </w:r>
    <w:r w:rsidRPr="0041077F">
      <w:rPr>
        <w:rFonts w:ascii="Times New Roman" w:hAnsi="Times New Roman" w:cs="Times New Roman"/>
      </w:rPr>
      <w:instrText xml:space="preserve"> PAGE   \* MERGEFORMAT </w:instrText>
    </w:r>
    <w:r w:rsidRPr="0041077F">
      <w:rPr>
        <w:rFonts w:ascii="Times New Roman" w:hAnsi="Times New Roman" w:cs="Times New Roman"/>
      </w:rPr>
      <w:fldChar w:fldCharType="separate"/>
    </w:r>
    <w:r w:rsidR="003D0387">
      <w:rPr>
        <w:rFonts w:ascii="Times New Roman" w:hAnsi="Times New Roman" w:cs="Times New Roman"/>
        <w:noProof/>
      </w:rPr>
      <w:t>2</w:t>
    </w:r>
    <w:r w:rsidRPr="0041077F">
      <w:rPr>
        <w:rFonts w:ascii="Times New Roman" w:hAnsi="Times New Roman" w:cs="Times New Roman"/>
      </w:rPr>
      <w:fldChar w:fldCharType="end"/>
    </w:r>
  </w:p>
  <w:p w:rsidR="009523F9" w:rsidRDefault="009523F9">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7F"/>
    <w:rsid w:val="003D0387"/>
    <w:rsid w:val="003D1926"/>
    <w:rsid w:val="0041077F"/>
    <w:rsid w:val="0095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41077F"/>
    <w:pPr>
      <w:tabs>
        <w:tab w:val="center" w:pos="4680"/>
        <w:tab w:val="right" w:pos="9360"/>
      </w:tabs>
    </w:pPr>
  </w:style>
  <w:style w:type="character" w:customStyle="1" w:styleId="HeaderChar">
    <w:name w:val="Header Char"/>
    <w:basedOn w:val="DefaultParagraphFont"/>
    <w:link w:val="Header"/>
    <w:uiPriority w:val="99"/>
    <w:locked/>
    <w:rsid w:val="0041077F"/>
    <w:rPr>
      <w:rFonts w:ascii="Arial" w:hAnsi="Arial" w:cs="Arial"/>
      <w:color w:val="000000"/>
      <w:sz w:val="24"/>
      <w:szCs w:val="24"/>
    </w:rPr>
  </w:style>
  <w:style w:type="paragraph" w:styleId="Footer">
    <w:name w:val="footer"/>
    <w:basedOn w:val="Normal"/>
    <w:link w:val="FooterChar"/>
    <w:uiPriority w:val="99"/>
    <w:unhideWhenUsed/>
    <w:rsid w:val="0041077F"/>
    <w:pPr>
      <w:tabs>
        <w:tab w:val="center" w:pos="4680"/>
        <w:tab w:val="right" w:pos="9360"/>
      </w:tabs>
    </w:pPr>
  </w:style>
  <w:style w:type="character" w:customStyle="1" w:styleId="FooterChar">
    <w:name w:val="Footer Char"/>
    <w:basedOn w:val="DefaultParagraphFont"/>
    <w:link w:val="Footer"/>
    <w:uiPriority w:val="99"/>
    <w:locked/>
    <w:rsid w:val="0041077F"/>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41077F"/>
    <w:pPr>
      <w:tabs>
        <w:tab w:val="center" w:pos="4680"/>
        <w:tab w:val="right" w:pos="9360"/>
      </w:tabs>
    </w:pPr>
  </w:style>
  <w:style w:type="character" w:customStyle="1" w:styleId="HeaderChar">
    <w:name w:val="Header Char"/>
    <w:basedOn w:val="DefaultParagraphFont"/>
    <w:link w:val="Header"/>
    <w:uiPriority w:val="99"/>
    <w:locked/>
    <w:rsid w:val="0041077F"/>
    <w:rPr>
      <w:rFonts w:ascii="Arial" w:hAnsi="Arial" w:cs="Arial"/>
      <w:color w:val="000000"/>
      <w:sz w:val="24"/>
      <w:szCs w:val="24"/>
    </w:rPr>
  </w:style>
  <w:style w:type="paragraph" w:styleId="Footer">
    <w:name w:val="footer"/>
    <w:basedOn w:val="Normal"/>
    <w:link w:val="FooterChar"/>
    <w:uiPriority w:val="99"/>
    <w:unhideWhenUsed/>
    <w:rsid w:val="0041077F"/>
    <w:pPr>
      <w:tabs>
        <w:tab w:val="center" w:pos="4680"/>
        <w:tab w:val="right" w:pos="9360"/>
      </w:tabs>
    </w:pPr>
  </w:style>
  <w:style w:type="character" w:customStyle="1" w:styleId="FooterChar">
    <w:name w:val="Footer Char"/>
    <w:basedOn w:val="DefaultParagraphFont"/>
    <w:link w:val="Footer"/>
    <w:uiPriority w:val="99"/>
    <w:locked/>
    <w:rsid w:val="0041077F"/>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3</cp:revision>
  <dcterms:created xsi:type="dcterms:W3CDTF">2015-02-05T16:41:00Z</dcterms:created>
  <dcterms:modified xsi:type="dcterms:W3CDTF">2015-02-05T16:41:00Z</dcterms:modified>
</cp:coreProperties>
</file>