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BE50D" w14:textId="2B650858" w:rsidR="00906EA8" w:rsidRDefault="00906EA8" w:rsidP="009501DD">
      <w:pPr>
        <w:rPr>
          <w:b/>
          <w:sz w:val="28"/>
          <w:szCs w:val="28"/>
        </w:rPr>
      </w:pPr>
    </w:p>
    <w:p w14:paraId="339F0723" w14:textId="7CCA0A59" w:rsidR="00D040BE" w:rsidRPr="000D595E" w:rsidRDefault="004D5697" w:rsidP="0053059D">
      <w:pPr>
        <w:jc w:val="center"/>
        <w:rPr>
          <w:szCs w:val="24"/>
        </w:rPr>
      </w:pPr>
      <w:r w:rsidRPr="000D595E">
        <w:rPr>
          <w:b/>
          <w:sz w:val="28"/>
          <w:szCs w:val="28"/>
        </w:rPr>
        <w:t>CBA Deadlines and Processes</w:t>
      </w:r>
      <w:r w:rsidR="00D040BE" w:rsidRPr="000D595E">
        <w:rPr>
          <w:b/>
          <w:sz w:val="28"/>
          <w:szCs w:val="28"/>
        </w:rPr>
        <w:br/>
      </w:r>
      <w:r w:rsidR="00D040BE" w:rsidRPr="000D595E">
        <w:rPr>
          <w:szCs w:val="24"/>
        </w:rPr>
        <w:t>(see Article 13 Section 5 and Article 29 Section 5C in CBA)</w:t>
      </w:r>
    </w:p>
    <w:p w14:paraId="0A4E02F9" w14:textId="77777777" w:rsidR="000D6338" w:rsidRPr="000D595E" w:rsidRDefault="000D6338" w:rsidP="0053059D">
      <w:pPr>
        <w:jc w:val="center"/>
        <w:rPr>
          <w:b/>
          <w:szCs w:val="24"/>
        </w:rPr>
      </w:pPr>
    </w:p>
    <w:p w14:paraId="76E1A426" w14:textId="25213FED" w:rsidR="00D040BE" w:rsidRPr="000D595E" w:rsidRDefault="00D040BE" w:rsidP="00D040BE">
      <w:pPr>
        <w:rPr>
          <w:b/>
          <w:szCs w:val="24"/>
        </w:rPr>
      </w:pPr>
      <w:r w:rsidRPr="000F58AD">
        <w:rPr>
          <w:b/>
          <w:szCs w:val="24"/>
        </w:rPr>
        <w:t>Fall 202</w:t>
      </w:r>
      <w:r w:rsidR="000630A2">
        <w:rPr>
          <w:b/>
          <w:szCs w:val="24"/>
        </w:rPr>
        <w:t>5</w:t>
      </w:r>
      <w:r w:rsidRPr="000F58AD">
        <w:rPr>
          <w:b/>
          <w:szCs w:val="24"/>
        </w:rPr>
        <w:t xml:space="preserve"> Dates</w:t>
      </w:r>
      <w:r w:rsidRPr="000F58AD">
        <w:rPr>
          <w:b/>
          <w:szCs w:val="24"/>
        </w:rPr>
        <w:tab/>
      </w:r>
      <w:r w:rsidRPr="000F58AD">
        <w:rPr>
          <w:b/>
          <w:szCs w:val="24"/>
        </w:rPr>
        <w:tab/>
      </w:r>
      <w:r w:rsidR="000E5787" w:rsidRPr="000F58AD">
        <w:rPr>
          <w:b/>
          <w:szCs w:val="24"/>
        </w:rPr>
        <w:t>RTP Actions</w:t>
      </w:r>
      <w:r w:rsidR="000E5787" w:rsidRPr="000F58AD">
        <w:rPr>
          <w:b/>
          <w:szCs w:val="24"/>
        </w:rPr>
        <w:tab/>
      </w:r>
      <w:r w:rsidR="000E5787" w:rsidRPr="000F58AD">
        <w:rPr>
          <w:b/>
          <w:szCs w:val="24"/>
        </w:rPr>
        <w:tab/>
      </w:r>
      <w:r w:rsidR="000E5787" w:rsidRPr="000F58AD">
        <w:rPr>
          <w:b/>
          <w:szCs w:val="24"/>
        </w:rPr>
        <w:tab/>
      </w:r>
      <w:r w:rsidR="008D29BA" w:rsidRPr="000F58AD">
        <w:rPr>
          <w:b/>
          <w:szCs w:val="24"/>
        </w:rPr>
        <w:tab/>
      </w:r>
      <w:r w:rsidR="000E5787" w:rsidRPr="000F58AD">
        <w:rPr>
          <w:b/>
          <w:szCs w:val="24"/>
        </w:rPr>
        <w:t>NTT Actions</w:t>
      </w:r>
    </w:p>
    <w:tbl>
      <w:tblPr>
        <w:tblStyle w:val="TableGrid"/>
        <w:tblW w:w="10530" w:type="dxa"/>
        <w:tblInd w:w="-455" w:type="dxa"/>
        <w:tblLook w:val="04A0" w:firstRow="1" w:lastRow="0" w:firstColumn="1" w:lastColumn="0" w:noHBand="0" w:noVBand="1"/>
      </w:tblPr>
      <w:tblGrid>
        <w:gridCol w:w="2340"/>
        <w:gridCol w:w="3960"/>
        <w:gridCol w:w="4230"/>
      </w:tblGrid>
      <w:tr w:rsidR="00D040BE" w:rsidRPr="000D595E" w14:paraId="00CE9EBE" w14:textId="7DEC27AC" w:rsidTr="00C11D0A">
        <w:trPr>
          <w:trHeight w:val="717"/>
        </w:trPr>
        <w:tc>
          <w:tcPr>
            <w:tcW w:w="2340" w:type="dxa"/>
          </w:tcPr>
          <w:p w14:paraId="32743FE3" w14:textId="60FFC2E6" w:rsidR="000E5787" w:rsidRPr="000F58AD" w:rsidRDefault="00D040BE" w:rsidP="00C74D8D">
            <w:pPr>
              <w:rPr>
                <w:rFonts w:ascii="Garamond" w:hAnsi="Garamond"/>
                <w:bCs/>
              </w:rPr>
            </w:pPr>
            <w:r w:rsidRPr="000F58AD">
              <w:rPr>
                <w:rFonts w:ascii="Garamond" w:hAnsi="Garamond"/>
                <w:bCs/>
              </w:rPr>
              <w:t xml:space="preserve">Friday of Week Two </w:t>
            </w:r>
          </w:p>
          <w:p w14:paraId="49634F39" w14:textId="532E3BD6" w:rsidR="00D040BE" w:rsidRPr="000F58AD" w:rsidRDefault="00D040BE" w:rsidP="00C74D8D">
            <w:pPr>
              <w:rPr>
                <w:rFonts w:ascii="Garamond" w:hAnsi="Garamond"/>
                <w:bCs/>
              </w:rPr>
            </w:pPr>
            <w:r w:rsidRPr="000F58AD">
              <w:rPr>
                <w:rFonts w:ascii="Garamond" w:hAnsi="Garamond"/>
                <w:bCs/>
              </w:rPr>
              <w:t xml:space="preserve">September </w:t>
            </w:r>
            <w:r w:rsidR="002B6E78">
              <w:rPr>
                <w:rFonts w:ascii="Garamond" w:hAnsi="Garamond"/>
                <w:bCs/>
              </w:rPr>
              <w:t>5, 2025</w:t>
            </w:r>
          </w:p>
        </w:tc>
        <w:tc>
          <w:tcPr>
            <w:tcW w:w="3960" w:type="dxa"/>
          </w:tcPr>
          <w:p w14:paraId="01E31CA5" w14:textId="6C571653" w:rsidR="00D040BE" w:rsidRPr="000D595E" w:rsidRDefault="00D040BE" w:rsidP="00C74D8D">
            <w:pPr>
              <w:rPr>
                <w:rFonts w:ascii="Garamond" w:hAnsi="Garamond"/>
                <w:bCs/>
              </w:rPr>
            </w:pPr>
            <w:r w:rsidRPr="000D595E">
              <w:rPr>
                <w:rFonts w:ascii="Garamond" w:hAnsi="Garamond"/>
                <w:bCs/>
              </w:rPr>
              <w:t>Candidate submits full application (digitized).  External letters due to RTP Committee Chair</w:t>
            </w:r>
          </w:p>
        </w:tc>
        <w:tc>
          <w:tcPr>
            <w:tcW w:w="4230" w:type="dxa"/>
          </w:tcPr>
          <w:p w14:paraId="67BAF6EE" w14:textId="64006D12" w:rsidR="00D040BE" w:rsidRPr="000D595E" w:rsidRDefault="000E5787" w:rsidP="00C74D8D">
            <w:pPr>
              <w:rPr>
                <w:rFonts w:ascii="Garamond" w:hAnsi="Garamond"/>
                <w:bCs/>
              </w:rPr>
            </w:pPr>
            <w:r w:rsidRPr="000D595E">
              <w:rPr>
                <w:rFonts w:ascii="Garamond" w:hAnsi="Garamond"/>
                <w:bCs/>
              </w:rPr>
              <w:t>Candidate submits full application (digitized).</w:t>
            </w:r>
          </w:p>
        </w:tc>
      </w:tr>
      <w:tr w:rsidR="00D040BE" w:rsidRPr="000D595E" w14:paraId="26DF4FE6" w14:textId="0A9FF5A3" w:rsidTr="00C11D0A">
        <w:trPr>
          <w:trHeight w:val="487"/>
        </w:trPr>
        <w:tc>
          <w:tcPr>
            <w:tcW w:w="2340" w:type="dxa"/>
          </w:tcPr>
          <w:p w14:paraId="60D01F86" w14:textId="720FBE2D" w:rsidR="000E5787" w:rsidRPr="000F58AD" w:rsidRDefault="00D040BE" w:rsidP="00C74D8D">
            <w:pPr>
              <w:rPr>
                <w:rFonts w:ascii="Garamond" w:hAnsi="Garamond"/>
                <w:bCs/>
              </w:rPr>
            </w:pPr>
            <w:r w:rsidRPr="000F58AD">
              <w:rPr>
                <w:rFonts w:ascii="Garamond" w:hAnsi="Garamond"/>
                <w:bCs/>
              </w:rPr>
              <w:t xml:space="preserve">Friday of Week Five </w:t>
            </w:r>
          </w:p>
          <w:p w14:paraId="11AC865E" w14:textId="02BA0F7C" w:rsidR="00D040BE" w:rsidRPr="000F58AD" w:rsidRDefault="00D040BE" w:rsidP="00C74D8D">
            <w:pPr>
              <w:rPr>
                <w:rFonts w:ascii="Garamond" w:hAnsi="Garamond"/>
                <w:bCs/>
              </w:rPr>
            </w:pPr>
            <w:r w:rsidRPr="000F58AD">
              <w:rPr>
                <w:rFonts w:ascii="Garamond" w:hAnsi="Garamond"/>
                <w:bCs/>
              </w:rPr>
              <w:t xml:space="preserve">September </w:t>
            </w:r>
            <w:r w:rsidR="00DA5F1F" w:rsidRPr="000F58AD">
              <w:rPr>
                <w:rFonts w:ascii="Garamond" w:hAnsi="Garamond"/>
                <w:bCs/>
              </w:rPr>
              <w:t>2</w:t>
            </w:r>
            <w:r w:rsidR="002B6E78">
              <w:rPr>
                <w:rFonts w:ascii="Garamond" w:hAnsi="Garamond"/>
                <w:bCs/>
              </w:rPr>
              <w:t>6</w:t>
            </w:r>
            <w:r w:rsidRPr="000F58AD">
              <w:rPr>
                <w:rFonts w:ascii="Garamond" w:hAnsi="Garamond"/>
                <w:bCs/>
              </w:rPr>
              <w:t>, 202</w:t>
            </w:r>
            <w:r w:rsidR="002B6E78">
              <w:rPr>
                <w:rFonts w:ascii="Garamond" w:hAnsi="Garamond"/>
                <w:bCs/>
              </w:rPr>
              <w:t>5</w:t>
            </w:r>
          </w:p>
        </w:tc>
        <w:tc>
          <w:tcPr>
            <w:tcW w:w="3960" w:type="dxa"/>
          </w:tcPr>
          <w:p w14:paraId="22AB761F" w14:textId="7B6A8C23" w:rsidR="00D040BE" w:rsidRPr="000D595E" w:rsidRDefault="00D040BE" w:rsidP="00C74D8D">
            <w:pPr>
              <w:rPr>
                <w:rFonts w:ascii="Garamond" w:hAnsi="Garamond"/>
                <w:bCs/>
              </w:rPr>
            </w:pPr>
            <w:r w:rsidRPr="000D595E">
              <w:rPr>
                <w:rFonts w:ascii="Garamond" w:hAnsi="Garamond"/>
                <w:bCs/>
              </w:rPr>
              <w:t>Deadline for candidate’s file additions (See CBA 3.B.2)</w:t>
            </w:r>
          </w:p>
        </w:tc>
        <w:tc>
          <w:tcPr>
            <w:tcW w:w="4230" w:type="dxa"/>
          </w:tcPr>
          <w:p w14:paraId="359F1448" w14:textId="4AC54FBA" w:rsidR="00D040BE" w:rsidRPr="000D595E" w:rsidRDefault="000E5787" w:rsidP="00C74D8D">
            <w:pPr>
              <w:rPr>
                <w:rFonts w:ascii="Garamond" w:hAnsi="Garamond"/>
                <w:bCs/>
              </w:rPr>
            </w:pPr>
            <w:r w:rsidRPr="000D595E">
              <w:rPr>
                <w:rFonts w:ascii="Garamond" w:hAnsi="Garamond"/>
                <w:bCs/>
              </w:rPr>
              <w:t>NA</w:t>
            </w:r>
          </w:p>
        </w:tc>
      </w:tr>
      <w:tr w:rsidR="00D040BE" w:rsidRPr="000D595E" w14:paraId="43FBBFD8" w14:textId="32D9CC20" w:rsidTr="00C11D0A">
        <w:trPr>
          <w:trHeight w:val="717"/>
        </w:trPr>
        <w:tc>
          <w:tcPr>
            <w:tcW w:w="2340" w:type="dxa"/>
          </w:tcPr>
          <w:p w14:paraId="271DB150" w14:textId="57D54678" w:rsidR="000E5787" w:rsidRPr="000F58AD" w:rsidRDefault="00D040BE" w:rsidP="00C74D8D">
            <w:pPr>
              <w:rPr>
                <w:rFonts w:ascii="Garamond" w:hAnsi="Garamond"/>
                <w:bCs/>
              </w:rPr>
            </w:pPr>
            <w:r w:rsidRPr="000F58AD">
              <w:rPr>
                <w:rFonts w:ascii="Garamond" w:hAnsi="Garamond"/>
                <w:bCs/>
              </w:rPr>
              <w:t>Friday of Week Six</w:t>
            </w:r>
          </w:p>
          <w:p w14:paraId="6008DEEE" w14:textId="7B3AB9CD" w:rsidR="00D040BE" w:rsidRPr="000F58AD" w:rsidRDefault="00C256DF" w:rsidP="00C74D8D">
            <w:pPr>
              <w:rPr>
                <w:rFonts w:ascii="Garamond" w:hAnsi="Garamond"/>
                <w:bCs/>
              </w:rPr>
            </w:pPr>
            <w:r w:rsidRPr="000F58AD">
              <w:rPr>
                <w:rFonts w:ascii="Garamond" w:hAnsi="Garamond"/>
                <w:bCs/>
              </w:rPr>
              <w:t xml:space="preserve">October </w:t>
            </w:r>
            <w:r w:rsidR="00AD0311">
              <w:rPr>
                <w:rFonts w:ascii="Garamond" w:hAnsi="Garamond"/>
                <w:bCs/>
              </w:rPr>
              <w:t>3</w:t>
            </w:r>
            <w:r w:rsidR="00D040BE" w:rsidRPr="000F58AD">
              <w:rPr>
                <w:rFonts w:ascii="Garamond" w:hAnsi="Garamond"/>
                <w:bCs/>
              </w:rPr>
              <w:t>, 202</w:t>
            </w:r>
            <w:r w:rsidR="00AD0311">
              <w:rPr>
                <w:rFonts w:ascii="Garamond" w:hAnsi="Garamond"/>
                <w:bCs/>
              </w:rPr>
              <w:t>5</w:t>
            </w:r>
          </w:p>
        </w:tc>
        <w:tc>
          <w:tcPr>
            <w:tcW w:w="3960" w:type="dxa"/>
          </w:tcPr>
          <w:p w14:paraId="4F5D2907" w14:textId="045831C6" w:rsidR="00D040BE" w:rsidRPr="000D595E" w:rsidRDefault="00D040BE" w:rsidP="00C74D8D">
            <w:pPr>
              <w:rPr>
                <w:rFonts w:ascii="Garamond" w:hAnsi="Garamond"/>
                <w:bCs/>
              </w:rPr>
            </w:pPr>
            <w:r w:rsidRPr="000D595E">
              <w:rPr>
                <w:rFonts w:ascii="Garamond" w:hAnsi="Garamond"/>
                <w:bCs/>
              </w:rPr>
              <w:t>RTP Committee</w:t>
            </w:r>
            <w:r w:rsidR="00696604" w:rsidRPr="000D595E">
              <w:rPr>
                <w:rFonts w:ascii="Garamond" w:hAnsi="Garamond"/>
                <w:bCs/>
              </w:rPr>
              <w:t>*</w:t>
            </w:r>
            <w:r w:rsidRPr="000D595E">
              <w:rPr>
                <w:rFonts w:ascii="Garamond" w:hAnsi="Garamond"/>
                <w:bCs/>
              </w:rPr>
              <w:t xml:space="preserve"> sends recommendation to candidate and academic unit chair/director</w:t>
            </w:r>
          </w:p>
        </w:tc>
        <w:tc>
          <w:tcPr>
            <w:tcW w:w="4230" w:type="dxa"/>
          </w:tcPr>
          <w:p w14:paraId="6878A36A" w14:textId="6E3092E2" w:rsidR="00D040BE" w:rsidRPr="000D595E" w:rsidRDefault="000E5787" w:rsidP="00C74D8D">
            <w:pPr>
              <w:rPr>
                <w:rFonts w:ascii="Garamond" w:hAnsi="Garamond"/>
                <w:bCs/>
              </w:rPr>
            </w:pPr>
            <w:r w:rsidRPr="000D595E">
              <w:rPr>
                <w:rFonts w:ascii="Garamond" w:hAnsi="Garamond"/>
                <w:bCs/>
              </w:rPr>
              <w:t>NTT Evaluation Committee sends recommendation to candidate and academic unit chair/director</w:t>
            </w:r>
          </w:p>
        </w:tc>
      </w:tr>
      <w:tr w:rsidR="00D040BE" w:rsidRPr="000D595E" w14:paraId="40383908" w14:textId="772217C2" w:rsidTr="00C11D0A">
        <w:trPr>
          <w:trHeight w:val="730"/>
        </w:trPr>
        <w:tc>
          <w:tcPr>
            <w:tcW w:w="2340" w:type="dxa"/>
          </w:tcPr>
          <w:p w14:paraId="53F62697" w14:textId="7A71928A" w:rsidR="000E5787" w:rsidRPr="000F58AD" w:rsidRDefault="00D040BE" w:rsidP="00C74D8D">
            <w:pPr>
              <w:rPr>
                <w:rFonts w:ascii="Garamond" w:hAnsi="Garamond"/>
                <w:bCs/>
              </w:rPr>
            </w:pPr>
            <w:r w:rsidRPr="000F58AD">
              <w:rPr>
                <w:rFonts w:ascii="Garamond" w:hAnsi="Garamond"/>
                <w:bCs/>
              </w:rPr>
              <w:t xml:space="preserve">Friday of Week Seven </w:t>
            </w:r>
          </w:p>
          <w:p w14:paraId="2BFB9431" w14:textId="76E0EEA9" w:rsidR="00D040BE" w:rsidRPr="000F58AD" w:rsidRDefault="00D040BE" w:rsidP="00C74D8D">
            <w:pPr>
              <w:rPr>
                <w:rFonts w:ascii="Garamond" w:hAnsi="Garamond"/>
                <w:bCs/>
              </w:rPr>
            </w:pPr>
            <w:r w:rsidRPr="000F58AD">
              <w:rPr>
                <w:rFonts w:ascii="Garamond" w:hAnsi="Garamond"/>
                <w:bCs/>
              </w:rPr>
              <w:t xml:space="preserve">October </w:t>
            </w:r>
            <w:r w:rsidR="00CA37FF" w:rsidRPr="000F58AD">
              <w:rPr>
                <w:rFonts w:ascii="Garamond" w:hAnsi="Garamond"/>
                <w:bCs/>
              </w:rPr>
              <w:t>1</w:t>
            </w:r>
            <w:r w:rsidR="00AD0311">
              <w:rPr>
                <w:rFonts w:ascii="Garamond" w:hAnsi="Garamond"/>
                <w:bCs/>
              </w:rPr>
              <w:t>0</w:t>
            </w:r>
            <w:r w:rsidRPr="000F58AD">
              <w:rPr>
                <w:rFonts w:ascii="Garamond" w:hAnsi="Garamond"/>
                <w:bCs/>
              </w:rPr>
              <w:t>, 202</w:t>
            </w:r>
            <w:r w:rsidR="00AD0311">
              <w:rPr>
                <w:rFonts w:ascii="Garamond" w:hAnsi="Garamond"/>
                <w:bCs/>
              </w:rPr>
              <w:t>5</w:t>
            </w:r>
          </w:p>
          <w:p w14:paraId="6D70E3A8" w14:textId="77777777" w:rsidR="00D040BE" w:rsidRPr="000F58AD" w:rsidRDefault="00D040BE" w:rsidP="00C74D8D">
            <w:pPr>
              <w:rPr>
                <w:rFonts w:ascii="Garamond" w:hAnsi="Garamond"/>
                <w:bCs/>
              </w:rPr>
            </w:pPr>
          </w:p>
        </w:tc>
        <w:tc>
          <w:tcPr>
            <w:tcW w:w="3960" w:type="dxa"/>
          </w:tcPr>
          <w:p w14:paraId="1EDA854A" w14:textId="77777777" w:rsidR="00D040BE" w:rsidRPr="000D595E" w:rsidRDefault="00D040BE" w:rsidP="00C74D8D">
            <w:pPr>
              <w:rPr>
                <w:rFonts w:ascii="Garamond" w:hAnsi="Garamond"/>
                <w:bCs/>
              </w:rPr>
            </w:pPr>
            <w:r w:rsidRPr="000D595E">
              <w:rPr>
                <w:rFonts w:ascii="Garamond" w:hAnsi="Garamond"/>
                <w:bCs/>
              </w:rPr>
              <w:t>Membership of all college-wide and the University-wide appeals committees finalized</w:t>
            </w:r>
          </w:p>
        </w:tc>
        <w:tc>
          <w:tcPr>
            <w:tcW w:w="4230" w:type="dxa"/>
          </w:tcPr>
          <w:p w14:paraId="71F67026" w14:textId="60A0D18C" w:rsidR="00D040BE" w:rsidRPr="000D595E" w:rsidRDefault="000E5787" w:rsidP="00C74D8D">
            <w:pPr>
              <w:rPr>
                <w:rFonts w:ascii="Garamond" w:hAnsi="Garamond"/>
                <w:bCs/>
              </w:rPr>
            </w:pPr>
            <w:r w:rsidRPr="000D595E">
              <w:rPr>
                <w:rFonts w:ascii="Garamond" w:hAnsi="Garamond"/>
                <w:bCs/>
              </w:rPr>
              <w:t>NA</w:t>
            </w:r>
          </w:p>
        </w:tc>
      </w:tr>
      <w:tr w:rsidR="00D040BE" w:rsidRPr="000D595E" w14:paraId="1B71CEEF" w14:textId="1639599E" w:rsidTr="000D6338">
        <w:trPr>
          <w:trHeight w:val="576"/>
        </w:trPr>
        <w:tc>
          <w:tcPr>
            <w:tcW w:w="2340" w:type="dxa"/>
          </w:tcPr>
          <w:p w14:paraId="3B67671D" w14:textId="7D8535E5" w:rsidR="000E5787" w:rsidRPr="000F58AD" w:rsidRDefault="00D040BE" w:rsidP="00C74D8D">
            <w:pPr>
              <w:rPr>
                <w:rFonts w:ascii="Garamond" w:hAnsi="Garamond"/>
                <w:bCs/>
              </w:rPr>
            </w:pPr>
            <w:r w:rsidRPr="000F58AD">
              <w:rPr>
                <w:rFonts w:ascii="Garamond" w:hAnsi="Garamond"/>
                <w:bCs/>
              </w:rPr>
              <w:t xml:space="preserve">Friday of Week Eight </w:t>
            </w:r>
          </w:p>
          <w:p w14:paraId="47F0B6E1" w14:textId="755D8E9C" w:rsidR="00D040BE" w:rsidRPr="000F58AD" w:rsidRDefault="00D040BE" w:rsidP="00C74D8D">
            <w:pPr>
              <w:rPr>
                <w:rFonts w:ascii="Garamond" w:hAnsi="Garamond"/>
                <w:bCs/>
              </w:rPr>
            </w:pPr>
            <w:r w:rsidRPr="000F58AD">
              <w:rPr>
                <w:rFonts w:ascii="Garamond" w:hAnsi="Garamond"/>
                <w:bCs/>
              </w:rPr>
              <w:t xml:space="preserve">October </w:t>
            </w:r>
            <w:r w:rsidR="00107B20" w:rsidRPr="000F58AD">
              <w:rPr>
                <w:rFonts w:ascii="Garamond" w:hAnsi="Garamond"/>
                <w:bCs/>
              </w:rPr>
              <w:t>1</w:t>
            </w:r>
            <w:r w:rsidR="00AD0311">
              <w:rPr>
                <w:rFonts w:ascii="Garamond" w:hAnsi="Garamond"/>
                <w:bCs/>
              </w:rPr>
              <w:t>7</w:t>
            </w:r>
            <w:r w:rsidRPr="000F58AD">
              <w:rPr>
                <w:rFonts w:ascii="Garamond" w:hAnsi="Garamond"/>
                <w:bCs/>
              </w:rPr>
              <w:t>, 202</w:t>
            </w:r>
            <w:r w:rsidR="00AD0311">
              <w:rPr>
                <w:rFonts w:ascii="Garamond" w:hAnsi="Garamond"/>
                <w:bCs/>
              </w:rPr>
              <w:t>5</w:t>
            </w:r>
          </w:p>
        </w:tc>
        <w:tc>
          <w:tcPr>
            <w:tcW w:w="3960" w:type="dxa"/>
          </w:tcPr>
          <w:p w14:paraId="78A4C0CF" w14:textId="7AB0DD8E" w:rsidR="00D040BE" w:rsidRPr="000D595E" w:rsidRDefault="00D040BE" w:rsidP="00C74D8D">
            <w:pPr>
              <w:rPr>
                <w:rFonts w:ascii="Garamond" w:hAnsi="Garamond"/>
                <w:bCs/>
              </w:rPr>
            </w:pPr>
            <w:r w:rsidRPr="000D595E">
              <w:rPr>
                <w:rFonts w:ascii="Garamond" w:hAnsi="Garamond"/>
                <w:bCs/>
              </w:rPr>
              <w:t>Academic unit chair/director sends</w:t>
            </w:r>
          </w:p>
          <w:p w14:paraId="6385B4B1" w14:textId="77777777" w:rsidR="00D040BE" w:rsidRPr="000D595E" w:rsidRDefault="00D040BE" w:rsidP="00C74D8D">
            <w:pPr>
              <w:rPr>
                <w:rFonts w:ascii="Garamond" w:hAnsi="Garamond"/>
                <w:bCs/>
              </w:rPr>
            </w:pPr>
            <w:r w:rsidRPr="000D595E">
              <w:rPr>
                <w:rFonts w:ascii="Garamond" w:hAnsi="Garamond"/>
                <w:bCs/>
              </w:rPr>
              <w:t>recommendation to candidate and dean</w:t>
            </w:r>
          </w:p>
        </w:tc>
        <w:tc>
          <w:tcPr>
            <w:tcW w:w="4230" w:type="dxa"/>
          </w:tcPr>
          <w:p w14:paraId="7C2F705A" w14:textId="7CD13FAD" w:rsidR="000E5787" w:rsidRPr="000D595E" w:rsidRDefault="000E5787" w:rsidP="000E5787">
            <w:pPr>
              <w:rPr>
                <w:rFonts w:ascii="Garamond" w:hAnsi="Garamond"/>
                <w:bCs/>
              </w:rPr>
            </w:pPr>
            <w:r w:rsidRPr="000D595E">
              <w:rPr>
                <w:rFonts w:ascii="Garamond" w:hAnsi="Garamond"/>
                <w:bCs/>
              </w:rPr>
              <w:t>Academic unit chair/director</w:t>
            </w:r>
            <w:r w:rsidR="00696604" w:rsidRPr="000D595E">
              <w:rPr>
                <w:rFonts w:ascii="Garamond" w:hAnsi="Garamond"/>
                <w:bCs/>
              </w:rPr>
              <w:t>*</w:t>
            </w:r>
            <w:r w:rsidRPr="000D595E">
              <w:rPr>
                <w:rFonts w:ascii="Garamond" w:hAnsi="Garamond"/>
                <w:bCs/>
              </w:rPr>
              <w:t xml:space="preserve"> sends</w:t>
            </w:r>
          </w:p>
          <w:p w14:paraId="312FC6F6" w14:textId="42F62195" w:rsidR="00D040BE" w:rsidRPr="000D595E" w:rsidRDefault="000E5787" w:rsidP="000E5787">
            <w:pPr>
              <w:rPr>
                <w:rFonts w:ascii="Garamond" w:hAnsi="Garamond"/>
                <w:bCs/>
              </w:rPr>
            </w:pPr>
            <w:r w:rsidRPr="000D595E">
              <w:rPr>
                <w:rFonts w:ascii="Garamond" w:hAnsi="Garamond"/>
                <w:bCs/>
              </w:rPr>
              <w:t>recommendation to candidate and dean</w:t>
            </w:r>
          </w:p>
        </w:tc>
      </w:tr>
      <w:tr w:rsidR="00D040BE" w:rsidRPr="000D595E" w14:paraId="6DFFE6B2" w14:textId="10F08690" w:rsidTr="00C11D0A">
        <w:trPr>
          <w:trHeight w:val="960"/>
        </w:trPr>
        <w:tc>
          <w:tcPr>
            <w:tcW w:w="2340" w:type="dxa"/>
          </w:tcPr>
          <w:p w14:paraId="781C5820" w14:textId="408636D5" w:rsidR="00D040BE" w:rsidRPr="000F58AD" w:rsidRDefault="00D040BE" w:rsidP="00C74D8D">
            <w:pPr>
              <w:rPr>
                <w:rFonts w:ascii="Garamond" w:hAnsi="Garamond"/>
                <w:bCs/>
              </w:rPr>
            </w:pPr>
            <w:r w:rsidRPr="000F58AD">
              <w:rPr>
                <w:rFonts w:ascii="Garamond" w:hAnsi="Garamond"/>
                <w:bCs/>
              </w:rPr>
              <w:t>Friday of Week Twelve</w:t>
            </w:r>
            <w:r w:rsidR="000E5787" w:rsidRPr="000F58AD">
              <w:rPr>
                <w:rFonts w:ascii="Garamond" w:hAnsi="Garamond"/>
                <w:bCs/>
              </w:rPr>
              <w:br/>
            </w:r>
            <w:r w:rsidRPr="000F58AD">
              <w:rPr>
                <w:rFonts w:ascii="Garamond" w:hAnsi="Garamond"/>
                <w:bCs/>
              </w:rPr>
              <w:t xml:space="preserve">November </w:t>
            </w:r>
            <w:r w:rsidR="00576E0E" w:rsidRPr="000F58AD">
              <w:rPr>
                <w:rFonts w:ascii="Garamond" w:hAnsi="Garamond"/>
                <w:bCs/>
              </w:rPr>
              <w:t>1</w:t>
            </w:r>
            <w:r w:rsidR="00877564">
              <w:rPr>
                <w:rFonts w:ascii="Garamond" w:hAnsi="Garamond"/>
                <w:bCs/>
              </w:rPr>
              <w:t>4</w:t>
            </w:r>
            <w:r w:rsidRPr="000F58AD">
              <w:rPr>
                <w:rFonts w:ascii="Garamond" w:hAnsi="Garamond"/>
                <w:bCs/>
              </w:rPr>
              <w:t>, 202</w:t>
            </w:r>
            <w:r w:rsidR="00877564">
              <w:rPr>
                <w:rFonts w:ascii="Garamond" w:hAnsi="Garamond"/>
                <w:bCs/>
              </w:rPr>
              <w:t>5</w:t>
            </w:r>
          </w:p>
        </w:tc>
        <w:tc>
          <w:tcPr>
            <w:tcW w:w="3960" w:type="dxa"/>
          </w:tcPr>
          <w:p w14:paraId="7F1BF12A" w14:textId="5D5756FC" w:rsidR="00D040BE" w:rsidRPr="000D595E" w:rsidRDefault="00D040BE" w:rsidP="00C74D8D">
            <w:pPr>
              <w:rPr>
                <w:rFonts w:ascii="Garamond" w:hAnsi="Garamond"/>
                <w:bCs/>
              </w:rPr>
            </w:pPr>
            <w:r w:rsidRPr="000D595E">
              <w:rPr>
                <w:rFonts w:ascii="Garamond" w:hAnsi="Garamond"/>
                <w:bCs/>
              </w:rPr>
              <w:t>College-wide-review committee provides</w:t>
            </w:r>
            <w:r w:rsidR="000E5787" w:rsidRPr="000D595E">
              <w:rPr>
                <w:rFonts w:ascii="Garamond" w:hAnsi="Garamond"/>
                <w:bCs/>
              </w:rPr>
              <w:t xml:space="preserve"> recommendation</w:t>
            </w:r>
            <w:r w:rsidR="000D6338" w:rsidRPr="000D595E">
              <w:rPr>
                <w:rFonts w:ascii="Garamond" w:hAnsi="Garamond"/>
                <w:bCs/>
              </w:rPr>
              <w:t xml:space="preserve"> </w:t>
            </w:r>
            <w:r w:rsidRPr="000D595E">
              <w:rPr>
                <w:rFonts w:ascii="Garamond" w:hAnsi="Garamond"/>
                <w:bCs/>
              </w:rPr>
              <w:t>for tenure and/or promotion</w:t>
            </w:r>
            <w:r w:rsidR="000D6338" w:rsidRPr="000D595E">
              <w:rPr>
                <w:rFonts w:ascii="Garamond" w:hAnsi="Garamond"/>
                <w:bCs/>
              </w:rPr>
              <w:t xml:space="preserve"> </w:t>
            </w:r>
            <w:r w:rsidRPr="000D595E">
              <w:rPr>
                <w:rFonts w:ascii="Garamond" w:hAnsi="Garamond"/>
                <w:bCs/>
              </w:rPr>
              <w:t xml:space="preserve">cases, with copy to all concerned </w:t>
            </w:r>
          </w:p>
        </w:tc>
        <w:tc>
          <w:tcPr>
            <w:tcW w:w="4230" w:type="dxa"/>
          </w:tcPr>
          <w:p w14:paraId="766708D1" w14:textId="0C09BBAB" w:rsidR="00D040BE" w:rsidRPr="000D595E" w:rsidRDefault="000E5787" w:rsidP="00C74D8D">
            <w:pPr>
              <w:rPr>
                <w:rFonts w:ascii="Garamond" w:hAnsi="Garamond"/>
                <w:bCs/>
              </w:rPr>
            </w:pPr>
            <w:r w:rsidRPr="000D595E">
              <w:rPr>
                <w:rFonts w:ascii="Garamond" w:hAnsi="Garamond"/>
                <w:bCs/>
              </w:rPr>
              <w:t>NA</w:t>
            </w:r>
          </w:p>
        </w:tc>
      </w:tr>
      <w:tr w:rsidR="00D040BE" w:rsidRPr="000D595E" w14:paraId="6DD6B39C" w14:textId="69CA3734" w:rsidTr="000D6338">
        <w:trPr>
          <w:trHeight w:val="1008"/>
        </w:trPr>
        <w:tc>
          <w:tcPr>
            <w:tcW w:w="2340" w:type="dxa"/>
          </w:tcPr>
          <w:p w14:paraId="0D42200C" w14:textId="71EB9F0C" w:rsidR="00D040BE" w:rsidRPr="000F58AD" w:rsidRDefault="00D040BE" w:rsidP="00C74D8D">
            <w:pPr>
              <w:rPr>
                <w:rFonts w:ascii="Garamond" w:hAnsi="Garamond"/>
                <w:bCs/>
              </w:rPr>
            </w:pPr>
            <w:r w:rsidRPr="000F58AD">
              <w:rPr>
                <w:rFonts w:ascii="Garamond" w:hAnsi="Garamond"/>
                <w:bCs/>
              </w:rPr>
              <w:t>Friday of Week Sixteen</w:t>
            </w:r>
            <w:r w:rsidR="000E5787" w:rsidRPr="000F58AD">
              <w:rPr>
                <w:rFonts w:ascii="Garamond" w:hAnsi="Garamond"/>
                <w:bCs/>
              </w:rPr>
              <w:br/>
            </w:r>
            <w:r w:rsidRPr="000F58AD">
              <w:rPr>
                <w:rFonts w:ascii="Garamond" w:hAnsi="Garamond"/>
                <w:bCs/>
              </w:rPr>
              <w:t xml:space="preserve">December </w:t>
            </w:r>
            <w:r w:rsidR="00CA37FF" w:rsidRPr="000F58AD">
              <w:rPr>
                <w:rFonts w:ascii="Garamond" w:hAnsi="Garamond"/>
                <w:bCs/>
              </w:rPr>
              <w:t>1</w:t>
            </w:r>
            <w:r w:rsidR="00877564">
              <w:rPr>
                <w:rFonts w:ascii="Garamond" w:hAnsi="Garamond"/>
                <w:bCs/>
              </w:rPr>
              <w:t>2</w:t>
            </w:r>
            <w:r w:rsidRPr="000F58AD">
              <w:rPr>
                <w:rFonts w:ascii="Garamond" w:hAnsi="Garamond"/>
                <w:bCs/>
              </w:rPr>
              <w:t>, 202</w:t>
            </w:r>
            <w:r w:rsidR="00877564">
              <w:rPr>
                <w:rFonts w:ascii="Garamond" w:hAnsi="Garamond"/>
                <w:bCs/>
              </w:rPr>
              <w:t>5</w:t>
            </w:r>
          </w:p>
          <w:p w14:paraId="3CD416B2" w14:textId="77777777" w:rsidR="00D040BE" w:rsidRPr="000F58AD" w:rsidRDefault="00D040BE" w:rsidP="00C74D8D">
            <w:pPr>
              <w:rPr>
                <w:rFonts w:ascii="Garamond" w:hAnsi="Garamond"/>
                <w:bCs/>
              </w:rPr>
            </w:pPr>
          </w:p>
        </w:tc>
        <w:tc>
          <w:tcPr>
            <w:tcW w:w="3960" w:type="dxa"/>
          </w:tcPr>
          <w:p w14:paraId="14FE133D" w14:textId="2EF487B6" w:rsidR="00D040BE" w:rsidRPr="000D595E" w:rsidRDefault="00D040BE" w:rsidP="00C74D8D">
            <w:pPr>
              <w:rPr>
                <w:rFonts w:ascii="Garamond" w:hAnsi="Garamond"/>
                <w:bCs/>
              </w:rPr>
            </w:pPr>
            <w:r w:rsidRPr="000D595E">
              <w:rPr>
                <w:rFonts w:ascii="Garamond" w:hAnsi="Garamond"/>
                <w:bCs/>
              </w:rPr>
              <w:t>Dean forwards negative recommendations to</w:t>
            </w:r>
            <w:r w:rsidR="000E5787" w:rsidRPr="000D595E">
              <w:rPr>
                <w:rFonts w:ascii="Garamond" w:hAnsi="Garamond"/>
                <w:bCs/>
              </w:rPr>
              <w:t xml:space="preserve"> candidates</w:t>
            </w:r>
            <w:r w:rsidR="000D6338" w:rsidRPr="000D595E">
              <w:rPr>
                <w:rFonts w:ascii="Garamond" w:hAnsi="Garamond"/>
                <w:bCs/>
              </w:rPr>
              <w:t xml:space="preserve"> </w:t>
            </w:r>
            <w:r w:rsidRPr="000D595E">
              <w:rPr>
                <w:rFonts w:ascii="Garamond" w:hAnsi="Garamond"/>
                <w:bCs/>
              </w:rPr>
              <w:t xml:space="preserve">and the </w:t>
            </w:r>
            <w:proofErr w:type="gramStart"/>
            <w:r w:rsidRPr="000D595E">
              <w:rPr>
                <w:rFonts w:ascii="Garamond" w:hAnsi="Garamond"/>
                <w:bCs/>
              </w:rPr>
              <w:t>Provost</w:t>
            </w:r>
            <w:proofErr w:type="gramEnd"/>
            <w:r w:rsidR="003C305E" w:rsidRPr="000D595E">
              <w:rPr>
                <w:rFonts w:ascii="Garamond" w:hAnsi="Garamond"/>
                <w:bCs/>
              </w:rPr>
              <w:t>,</w:t>
            </w:r>
            <w:r w:rsidRPr="000D595E">
              <w:rPr>
                <w:rFonts w:ascii="Garamond" w:hAnsi="Garamond"/>
                <w:bCs/>
              </w:rPr>
              <w:t xml:space="preserve"> with copy to</w:t>
            </w:r>
          </w:p>
          <w:p w14:paraId="6F6AC364" w14:textId="7C00824F" w:rsidR="00D040BE" w:rsidRPr="000D595E" w:rsidRDefault="00D040BE" w:rsidP="00C74D8D">
            <w:pPr>
              <w:rPr>
                <w:rFonts w:ascii="Garamond" w:hAnsi="Garamond"/>
                <w:bCs/>
              </w:rPr>
            </w:pPr>
            <w:r w:rsidRPr="000D595E">
              <w:rPr>
                <w:rFonts w:ascii="Garamond" w:hAnsi="Garamond"/>
                <w:bCs/>
              </w:rPr>
              <w:t>appropriate academic unit chairs/directors and</w:t>
            </w:r>
            <w:r w:rsidR="000D6338" w:rsidRPr="000D595E">
              <w:rPr>
                <w:rFonts w:ascii="Garamond" w:hAnsi="Garamond"/>
                <w:bCs/>
              </w:rPr>
              <w:t xml:space="preserve"> </w:t>
            </w:r>
            <w:r w:rsidRPr="000D595E">
              <w:rPr>
                <w:rFonts w:ascii="Garamond" w:hAnsi="Garamond"/>
                <w:bCs/>
              </w:rPr>
              <w:t>RTP Committee Chairs</w:t>
            </w:r>
          </w:p>
        </w:tc>
        <w:tc>
          <w:tcPr>
            <w:tcW w:w="4230" w:type="dxa"/>
          </w:tcPr>
          <w:p w14:paraId="2DCE0476" w14:textId="259C81F6" w:rsidR="000E5787" w:rsidRPr="000D595E" w:rsidRDefault="000E5787" w:rsidP="000E5787">
            <w:pPr>
              <w:rPr>
                <w:rFonts w:ascii="Garamond" w:hAnsi="Garamond"/>
                <w:bCs/>
              </w:rPr>
            </w:pPr>
            <w:r w:rsidRPr="000D595E">
              <w:rPr>
                <w:rFonts w:ascii="Garamond" w:hAnsi="Garamond"/>
                <w:bCs/>
              </w:rPr>
              <w:t>Dean forwards negative recommendations to candidates</w:t>
            </w:r>
            <w:r w:rsidR="000D6338" w:rsidRPr="000D595E">
              <w:rPr>
                <w:rFonts w:ascii="Garamond" w:hAnsi="Garamond"/>
                <w:bCs/>
              </w:rPr>
              <w:t xml:space="preserve"> </w:t>
            </w:r>
            <w:r w:rsidRPr="000D595E">
              <w:rPr>
                <w:rFonts w:ascii="Garamond" w:hAnsi="Garamond"/>
                <w:bCs/>
              </w:rPr>
              <w:t xml:space="preserve">and the </w:t>
            </w:r>
            <w:proofErr w:type="gramStart"/>
            <w:r w:rsidRPr="000D595E">
              <w:rPr>
                <w:rFonts w:ascii="Garamond" w:hAnsi="Garamond"/>
                <w:bCs/>
              </w:rPr>
              <w:t>Provost</w:t>
            </w:r>
            <w:proofErr w:type="gramEnd"/>
            <w:r w:rsidRPr="000D595E">
              <w:rPr>
                <w:rFonts w:ascii="Garamond" w:hAnsi="Garamond"/>
                <w:bCs/>
              </w:rPr>
              <w:t>, with copy to</w:t>
            </w:r>
          </w:p>
          <w:p w14:paraId="538DE5DA" w14:textId="77777777" w:rsidR="000E5787" w:rsidRPr="000D595E" w:rsidRDefault="000E5787" w:rsidP="000E5787">
            <w:pPr>
              <w:rPr>
                <w:rFonts w:ascii="Garamond" w:hAnsi="Garamond"/>
                <w:bCs/>
              </w:rPr>
            </w:pPr>
            <w:r w:rsidRPr="000D595E">
              <w:rPr>
                <w:rFonts w:ascii="Garamond" w:hAnsi="Garamond"/>
                <w:bCs/>
              </w:rPr>
              <w:t>appropriate academic unit chairs/directors and</w:t>
            </w:r>
          </w:p>
          <w:p w14:paraId="0DB4BAB5" w14:textId="124970AA" w:rsidR="00D040BE" w:rsidRPr="000D595E" w:rsidRDefault="000E5787" w:rsidP="000E5787">
            <w:pPr>
              <w:rPr>
                <w:rFonts w:ascii="Garamond" w:hAnsi="Garamond"/>
                <w:bCs/>
              </w:rPr>
            </w:pPr>
            <w:r w:rsidRPr="000D595E">
              <w:rPr>
                <w:rFonts w:ascii="Garamond" w:hAnsi="Garamond"/>
                <w:bCs/>
              </w:rPr>
              <w:t>NTT Evaluation Committee Chairs</w:t>
            </w:r>
          </w:p>
        </w:tc>
      </w:tr>
      <w:tr w:rsidR="00D040BE" w:rsidRPr="000D595E" w14:paraId="7B0570A3" w14:textId="696B6C0C" w:rsidTr="00C11D0A">
        <w:trPr>
          <w:trHeight w:val="917"/>
        </w:trPr>
        <w:tc>
          <w:tcPr>
            <w:tcW w:w="2340" w:type="dxa"/>
          </w:tcPr>
          <w:p w14:paraId="60B5513F" w14:textId="251CC7E1" w:rsidR="00D040BE" w:rsidRPr="000D595E" w:rsidRDefault="00D040BE" w:rsidP="00C74D8D">
            <w:pPr>
              <w:rPr>
                <w:rFonts w:ascii="Garamond" w:hAnsi="Garamond"/>
                <w:color w:val="808080" w:themeColor="background1" w:themeShade="80"/>
              </w:rPr>
            </w:pPr>
            <w:r w:rsidRPr="000D595E">
              <w:rPr>
                <w:rFonts w:ascii="Garamond" w:hAnsi="Garamond"/>
                <w:color w:val="808080" w:themeColor="background1" w:themeShade="80"/>
              </w:rPr>
              <w:t>Spring 202</w:t>
            </w:r>
            <w:r w:rsidR="00877564">
              <w:rPr>
                <w:rFonts w:ascii="Garamond" w:hAnsi="Garamond"/>
                <w:color w:val="808080" w:themeColor="background1" w:themeShade="80"/>
              </w:rPr>
              <w:t>6</w:t>
            </w:r>
            <w:r w:rsidR="000E5787" w:rsidRPr="000D595E">
              <w:rPr>
                <w:rFonts w:ascii="Garamond" w:hAnsi="Garamond"/>
                <w:color w:val="808080" w:themeColor="background1" w:themeShade="80"/>
              </w:rPr>
              <w:br/>
            </w:r>
            <w:r w:rsidRPr="000D595E">
              <w:rPr>
                <w:rFonts w:ascii="Garamond" w:hAnsi="Garamond"/>
                <w:color w:val="808080" w:themeColor="background1" w:themeShade="80"/>
              </w:rPr>
              <w:t>(see CBA for details)</w:t>
            </w:r>
          </w:p>
        </w:tc>
        <w:tc>
          <w:tcPr>
            <w:tcW w:w="3960" w:type="dxa"/>
          </w:tcPr>
          <w:p w14:paraId="26FAB52E" w14:textId="2AC8E843" w:rsidR="00D040BE" w:rsidRPr="000D595E" w:rsidRDefault="00D040BE" w:rsidP="00C74D8D">
            <w:pPr>
              <w:rPr>
                <w:rFonts w:ascii="Garamond" w:hAnsi="Garamond"/>
                <w:color w:val="808080" w:themeColor="background1" w:themeShade="80"/>
              </w:rPr>
            </w:pPr>
            <w:r w:rsidRPr="000D595E">
              <w:rPr>
                <w:rFonts w:ascii="Garamond" w:hAnsi="Garamond"/>
                <w:color w:val="808080" w:themeColor="background1" w:themeShade="80"/>
              </w:rPr>
              <w:t xml:space="preserve">Positive recommendations from Dean to Provost in Wk2.  </w:t>
            </w:r>
          </w:p>
        </w:tc>
        <w:tc>
          <w:tcPr>
            <w:tcW w:w="4230" w:type="dxa"/>
          </w:tcPr>
          <w:p w14:paraId="591CEE56" w14:textId="788327D4" w:rsidR="00D040BE" w:rsidRPr="000D595E" w:rsidRDefault="000E5787" w:rsidP="000E5787">
            <w:pPr>
              <w:rPr>
                <w:rFonts w:ascii="Garamond" w:hAnsi="Garamond"/>
                <w:color w:val="808080" w:themeColor="background1" w:themeShade="80"/>
              </w:rPr>
            </w:pPr>
            <w:r w:rsidRPr="000D595E">
              <w:rPr>
                <w:rFonts w:ascii="Garamond" w:hAnsi="Garamond"/>
                <w:color w:val="808080" w:themeColor="background1" w:themeShade="80"/>
              </w:rPr>
              <w:t xml:space="preserve">Positive recommendations from Dean to Provost in Wk2.  </w:t>
            </w:r>
          </w:p>
        </w:tc>
      </w:tr>
    </w:tbl>
    <w:p w14:paraId="2BCE334D" w14:textId="77777777" w:rsidR="000D6338" w:rsidRPr="000D595E" w:rsidRDefault="000D6338" w:rsidP="0070121E">
      <w:pPr>
        <w:pStyle w:val="xxmsonormal"/>
        <w:shd w:val="clear" w:color="auto" w:fill="FFFFFF"/>
        <w:spacing w:before="0" w:beforeAutospacing="0" w:after="0" w:afterAutospacing="0" w:line="275" w:lineRule="atLeast"/>
        <w:rPr>
          <w:rFonts w:ascii="Garamond" w:hAnsi="Garamond" w:cs="Calibri"/>
          <w:b/>
          <w:bCs/>
          <w:color w:val="201F1E"/>
        </w:rPr>
      </w:pPr>
    </w:p>
    <w:p w14:paraId="1582924F" w14:textId="0E37D7B9" w:rsidR="00C11D0A" w:rsidRPr="000D595E" w:rsidRDefault="00C11D0A" w:rsidP="0070121E">
      <w:pPr>
        <w:pStyle w:val="xxmsonormal"/>
        <w:shd w:val="clear" w:color="auto" w:fill="FFFFFF"/>
        <w:spacing w:before="0" w:beforeAutospacing="0" w:after="0" w:afterAutospacing="0" w:line="275" w:lineRule="atLeast"/>
        <w:rPr>
          <w:rFonts w:ascii="Garamond" w:hAnsi="Garamond" w:cs="Calibri"/>
          <w:b/>
          <w:bCs/>
          <w:color w:val="201F1E"/>
        </w:rPr>
      </w:pPr>
    </w:p>
    <w:p w14:paraId="0F5B9253" w14:textId="77777777" w:rsidR="00AD793B" w:rsidRPr="000D595E" w:rsidRDefault="00AD793B" w:rsidP="0070121E">
      <w:pPr>
        <w:pStyle w:val="xxmsonormal"/>
        <w:shd w:val="clear" w:color="auto" w:fill="FFFFFF"/>
        <w:spacing w:before="0" w:beforeAutospacing="0" w:after="0" w:afterAutospacing="0" w:line="275" w:lineRule="atLeast"/>
        <w:rPr>
          <w:rFonts w:ascii="Garamond" w:hAnsi="Garamond" w:cs="Calibri"/>
          <w:b/>
          <w:bCs/>
          <w:color w:val="201F1E"/>
        </w:rPr>
      </w:pPr>
    </w:p>
    <w:p w14:paraId="68443EA0" w14:textId="3295839C" w:rsidR="0070121E" w:rsidRPr="000D595E" w:rsidRDefault="0070121E" w:rsidP="0070121E">
      <w:pPr>
        <w:pStyle w:val="xxmsonormal"/>
        <w:shd w:val="clear" w:color="auto" w:fill="FFFFFF"/>
        <w:spacing w:before="0" w:beforeAutospacing="0" w:after="0" w:afterAutospacing="0" w:line="275" w:lineRule="atLeast"/>
        <w:rPr>
          <w:rFonts w:ascii="Garamond" w:hAnsi="Garamond" w:cs="Calibri"/>
          <w:b/>
          <w:bCs/>
          <w:color w:val="201F1E"/>
        </w:rPr>
      </w:pPr>
      <w:r w:rsidRPr="000D595E">
        <w:rPr>
          <w:rFonts w:ascii="Garamond" w:hAnsi="Garamond" w:cs="Calibri"/>
          <w:b/>
          <w:bCs/>
          <w:color w:val="201F1E"/>
        </w:rPr>
        <w:t>Contents for RTP and NTT Evaluation Files</w:t>
      </w:r>
    </w:p>
    <w:tbl>
      <w:tblPr>
        <w:tblStyle w:val="TableGrid"/>
        <w:tblW w:w="10614" w:type="dxa"/>
        <w:tblInd w:w="-455" w:type="dxa"/>
        <w:tblLook w:val="04A0" w:firstRow="1" w:lastRow="0" w:firstColumn="1" w:lastColumn="0" w:noHBand="0" w:noVBand="1"/>
      </w:tblPr>
      <w:tblGrid>
        <w:gridCol w:w="5130"/>
        <w:gridCol w:w="2160"/>
        <w:gridCol w:w="3324"/>
      </w:tblGrid>
      <w:tr w:rsidR="0070121E" w:rsidRPr="000D595E" w14:paraId="144501CD" w14:textId="77777777" w:rsidTr="009E3F14">
        <w:trPr>
          <w:trHeight w:val="334"/>
        </w:trPr>
        <w:tc>
          <w:tcPr>
            <w:tcW w:w="5130" w:type="dxa"/>
          </w:tcPr>
          <w:p w14:paraId="1D237038" w14:textId="77777777" w:rsidR="0070121E" w:rsidRPr="000D595E" w:rsidRDefault="0070121E" w:rsidP="00145192">
            <w:pPr>
              <w:rPr>
                <w:rFonts w:ascii="Garamond" w:hAnsi="Garamond"/>
                <w:b/>
                <w:sz w:val="24"/>
                <w:szCs w:val="24"/>
              </w:rPr>
            </w:pPr>
            <w:r w:rsidRPr="000D595E">
              <w:rPr>
                <w:rFonts w:ascii="Garamond" w:hAnsi="Garamond"/>
                <w:b/>
                <w:sz w:val="24"/>
                <w:szCs w:val="24"/>
              </w:rPr>
              <w:t>Artifact</w:t>
            </w:r>
          </w:p>
        </w:tc>
        <w:tc>
          <w:tcPr>
            <w:tcW w:w="2160" w:type="dxa"/>
          </w:tcPr>
          <w:p w14:paraId="7394E3FD" w14:textId="77777777" w:rsidR="0070121E" w:rsidRPr="000D595E" w:rsidRDefault="0070121E" w:rsidP="00145192">
            <w:pPr>
              <w:rPr>
                <w:rFonts w:ascii="Garamond" w:hAnsi="Garamond"/>
                <w:b/>
                <w:sz w:val="24"/>
                <w:szCs w:val="24"/>
              </w:rPr>
            </w:pPr>
            <w:r w:rsidRPr="000D595E">
              <w:rPr>
                <w:rFonts w:ascii="Garamond" w:hAnsi="Garamond"/>
                <w:b/>
                <w:sz w:val="24"/>
                <w:szCs w:val="24"/>
              </w:rPr>
              <w:t>RTP Files</w:t>
            </w:r>
          </w:p>
        </w:tc>
        <w:tc>
          <w:tcPr>
            <w:tcW w:w="3324" w:type="dxa"/>
          </w:tcPr>
          <w:p w14:paraId="31FB6456" w14:textId="77777777" w:rsidR="0070121E" w:rsidRPr="000D595E" w:rsidRDefault="0070121E" w:rsidP="00145192">
            <w:pPr>
              <w:rPr>
                <w:rFonts w:ascii="Garamond" w:hAnsi="Garamond"/>
                <w:b/>
                <w:sz w:val="24"/>
                <w:szCs w:val="24"/>
              </w:rPr>
            </w:pPr>
            <w:r w:rsidRPr="000D595E">
              <w:rPr>
                <w:rFonts w:ascii="Garamond" w:hAnsi="Garamond"/>
                <w:b/>
                <w:sz w:val="24"/>
                <w:szCs w:val="24"/>
              </w:rPr>
              <w:t>NTT Evaluation Files</w:t>
            </w:r>
          </w:p>
        </w:tc>
      </w:tr>
      <w:tr w:rsidR="0070121E" w:rsidRPr="000D595E" w14:paraId="538B1491" w14:textId="77777777" w:rsidTr="009E3F14">
        <w:trPr>
          <w:trHeight w:val="315"/>
        </w:trPr>
        <w:tc>
          <w:tcPr>
            <w:tcW w:w="5130" w:type="dxa"/>
          </w:tcPr>
          <w:p w14:paraId="3662BEAF" w14:textId="77777777" w:rsidR="0070121E" w:rsidRPr="000D595E" w:rsidRDefault="0070121E" w:rsidP="00145192">
            <w:pPr>
              <w:rPr>
                <w:rFonts w:ascii="Garamond" w:hAnsi="Garamond"/>
                <w:bCs/>
                <w:sz w:val="24"/>
                <w:szCs w:val="24"/>
              </w:rPr>
            </w:pPr>
            <w:r w:rsidRPr="000D595E">
              <w:rPr>
                <w:rFonts w:ascii="Garamond" w:hAnsi="Garamond"/>
                <w:bCs/>
                <w:sz w:val="24"/>
                <w:szCs w:val="24"/>
              </w:rPr>
              <w:t>Table of Contents</w:t>
            </w:r>
          </w:p>
        </w:tc>
        <w:tc>
          <w:tcPr>
            <w:tcW w:w="2160" w:type="dxa"/>
          </w:tcPr>
          <w:p w14:paraId="053A15AC" w14:textId="77777777" w:rsidR="0070121E" w:rsidRPr="000D595E" w:rsidRDefault="0070121E" w:rsidP="00145192">
            <w:pPr>
              <w:rPr>
                <w:rFonts w:ascii="Garamond" w:hAnsi="Garamond"/>
                <w:bCs/>
                <w:sz w:val="24"/>
                <w:szCs w:val="24"/>
              </w:rPr>
            </w:pPr>
            <w:r w:rsidRPr="000D595E">
              <w:rPr>
                <w:rFonts w:ascii="Garamond" w:hAnsi="Garamond"/>
                <w:bCs/>
                <w:sz w:val="24"/>
                <w:szCs w:val="24"/>
              </w:rPr>
              <w:t>Required by CBA</w:t>
            </w:r>
          </w:p>
        </w:tc>
        <w:tc>
          <w:tcPr>
            <w:tcW w:w="3324" w:type="dxa"/>
            <w:shd w:val="clear" w:color="auto" w:fill="auto"/>
          </w:tcPr>
          <w:p w14:paraId="205E0FA6" w14:textId="229317B4" w:rsidR="0070121E" w:rsidRPr="000D595E" w:rsidRDefault="00C11D0A" w:rsidP="00145192">
            <w:pPr>
              <w:rPr>
                <w:rFonts w:ascii="Garamond" w:hAnsi="Garamond"/>
                <w:bCs/>
                <w:sz w:val="24"/>
                <w:szCs w:val="24"/>
              </w:rPr>
            </w:pPr>
            <w:r w:rsidRPr="000D595E">
              <w:rPr>
                <w:rFonts w:ascii="Garamond" w:hAnsi="Garamond"/>
                <w:bCs/>
                <w:sz w:val="24"/>
                <w:szCs w:val="24"/>
              </w:rPr>
              <w:t>Recommended</w:t>
            </w:r>
          </w:p>
        </w:tc>
      </w:tr>
      <w:tr w:rsidR="0070121E" w:rsidRPr="000D595E" w14:paraId="052A1BE1" w14:textId="77777777" w:rsidTr="009E3F14">
        <w:trPr>
          <w:trHeight w:val="334"/>
        </w:trPr>
        <w:tc>
          <w:tcPr>
            <w:tcW w:w="5130" w:type="dxa"/>
          </w:tcPr>
          <w:p w14:paraId="19A0E089" w14:textId="77777777" w:rsidR="0070121E" w:rsidRPr="000D595E" w:rsidRDefault="0070121E" w:rsidP="00145192">
            <w:pPr>
              <w:rPr>
                <w:rFonts w:ascii="Garamond" w:hAnsi="Garamond"/>
                <w:bCs/>
                <w:sz w:val="24"/>
                <w:szCs w:val="24"/>
              </w:rPr>
            </w:pPr>
            <w:r w:rsidRPr="000D595E">
              <w:rPr>
                <w:rFonts w:ascii="Garamond" w:hAnsi="Garamond"/>
                <w:bCs/>
                <w:sz w:val="24"/>
                <w:szCs w:val="24"/>
              </w:rPr>
              <w:t>Candidate narrative addressing all relevant criteria</w:t>
            </w:r>
          </w:p>
        </w:tc>
        <w:tc>
          <w:tcPr>
            <w:tcW w:w="2160" w:type="dxa"/>
          </w:tcPr>
          <w:p w14:paraId="4BD2A3C9" w14:textId="77777777" w:rsidR="0070121E" w:rsidRPr="000D595E" w:rsidRDefault="0070121E" w:rsidP="00145192">
            <w:pPr>
              <w:rPr>
                <w:rFonts w:ascii="Garamond" w:hAnsi="Garamond"/>
                <w:bCs/>
                <w:sz w:val="24"/>
                <w:szCs w:val="24"/>
              </w:rPr>
            </w:pPr>
            <w:r w:rsidRPr="000D595E">
              <w:rPr>
                <w:rFonts w:ascii="Garamond" w:hAnsi="Garamond"/>
                <w:bCs/>
                <w:sz w:val="24"/>
                <w:szCs w:val="24"/>
              </w:rPr>
              <w:t>Required by CBA</w:t>
            </w:r>
          </w:p>
        </w:tc>
        <w:tc>
          <w:tcPr>
            <w:tcW w:w="3324" w:type="dxa"/>
            <w:shd w:val="clear" w:color="auto" w:fill="auto"/>
          </w:tcPr>
          <w:p w14:paraId="6AE242D0" w14:textId="38FDA6B4" w:rsidR="0070121E" w:rsidRPr="000D595E" w:rsidRDefault="00C11D0A" w:rsidP="00145192">
            <w:pPr>
              <w:rPr>
                <w:rFonts w:ascii="Garamond" w:hAnsi="Garamond"/>
                <w:bCs/>
                <w:sz w:val="24"/>
                <w:szCs w:val="24"/>
              </w:rPr>
            </w:pPr>
            <w:r w:rsidRPr="000D595E">
              <w:rPr>
                <w:rFonts w:ascii="Garamond" w:hAnsi="Garamond"/>
                <w:bCs/>
                <w:sz w:val="24"/>
                <w:szCs w:val="24"/>
              </w:rPr>
              <w:t>Strongly Recommended</w:t>
            </w:r>
          </w:p>
        </w:tc>
      </w:tr>
      <w:tr w:rsidR="0070121E" w:rsidRPr="000D595E" w14:paraId="5FCC4335" w14:textId="77777777" w:rsidTr="009E3F14">
        <w:trPr>
          <w:trHeight w:val="315"/>
        </w:trPr>
        <w:tc>
          <w:tcPr>
            <w:tcW w:w="5130" w:type="dxa"/>
          </w:tcPr>
          <w:p w14:paraId="3B7C3306" w14:textId="77777777" w:rsidR="0070121E" w:rsidRPr="000D595E" w:rsidRDefault="0070121E" w:rsidP="00145192">
            <w:pPr>
              <w:rPr>
                <w:rFonts w:ascii="Garamond" w:hAnsi="Garamond"/>
                <w:bCs/>
                <w:sz w:val="24"/>
                <w:szCs w:val="24"/>
              </w:rPr>
            </w:pPr>
            <w:r w:rsidRPr="000D595E">
              <w:rPr>
                <w:rFonts w:ascii="Garamond" w:hAnsi="Garamond"/>
                <w:bCs/>
                <w:sz w:val="24"/>
                <w:szCs w:val="24"/>
              </w:rPr>
              <w:t>Current vita</w:t>
            </w:r>
          </w:p>
        </w:tc>
        <w:tc>
          <w:tcPr>
            <w:tcW w:w="2160" w:type="dxa"/>
          </w:tcPr>
          <w:p w14:paraId="26BE2E12" w14:textId="77777777" w:rsidR="0070121E" w:rsidRPr="000D595E" w:rsidRDefault="0070121E" w:rsidP="00145192">
            <w:pPr>
              <w:rPr>
                <w:rFonts w:ascii="Garamond" w:hAnsi="Garamond"/>
                <w:bCs/>
                <w:sz w:val="24"/>
                <w:szCs w:val="24"/>
              </w:rPr>
            </w:pPr>
            <w:r w:rsidRPr="000D595E">
              <w:rPr>
                <w:rFonts w:ascii="Garamond" w:hAnsi="Garamond"/>
                <w:bCs/>
                <w:sz w:val="24"/>
                <w:szCs w:val="24"/>
              </w:rPr>
              <w:t>Required by CBA</w:t>
            </w:r>
          </w:p>
        </w:tc>
        <w:tc>
          <w:tcPr>
            <w:tcW w:w="3324" w:type="dxa"/>
            <w:shd w:val="clear" w:color="auto" w:fill="auto"/>
          </w:tcPr>
          <w:p w14:paraId="68FA278D" w14:textId="08F1556F" w:rsidR="0070121E" w:rsidRPr="000D595E" w:rsidRDefault="00C11D0A" w:rsidP="00145192">
            <w:pPr>
              <w:rPr>
                <w:rFonts w:ascii="Garamond" w:hAnsi="Garamond"/>
                <w:bCs/>
                <w:sz w:val="24"/>
                <w:szCs w:val="24"/>
              </w:rPr>
            </w:pPr>
            <w:r w:rsidRPr="000D595E">
              <w:rPr>
                <w:rFonts w:ascii="Garamond" w:hAnsi="Garamond"/>
                <w:bCs/>
                <w:sz w:val="24"/>
                <w:szCs w:val="24"/>
              </w:rPr>
              <w:t>Strongly Recommended</w:t>
            </w:r>
          </w:p>
        </w:tc>
      </w:tr>
      <w:tr w:rsidR="0070121E" w:rsidRPr="000D595E" w14:paraId="55B7144C" w14:textId="77777777" w:rsidTr="009E3F14">
        <w:trPr>
          <w:trHeight w:val="334"/>
        </w:trPr>
        <w:tc>
          <w:tcPr>
            <w:tcW w:w="5130" w:type="dxa"/>
          </w:tcPr>
          <w:p w14:paraId="3A3B332D" w14:textId="2FCFA45B" w:rsidR="0070121E" w:rsidRPr="000D595E" w:rsidRDefault="0070121E" w:rsidP="00145192">
            <w:pPr>
              <w:rPr>
                <w:rFonts w:ascii="Garamond" w:hAnsi="Garamond"/>
                <w:bCs/>
                <w:sz w:val="24"/>
                <w:szCs w:val="24"/>
              </w:rPr>
            </w:pPr>
            <w:r w:rsidRPr="000D595E">
              <w:rPr>
                <w:rFonts w:ascii="Garamond" w:hAnsi="Garamond"/>
                <w:bCs/>
                <w:sz w:val="24"/>
                <w:szCs w:val="24"/>
              </w:rPr>
              <w:t xml:space="preserve">All previous RTP </w:t>
            </w:r>
            <w:r w:rsidR="00DC1471" w:rsidRPr="000D595E">
              <w:rPr>
                <w:rFonts w:ascii="Garamond" w:hAnsi="Garamond"/>
                <w:bCs/>
                <w:sz w:val="24"/>
                <w:szCs w:val="24"/>
              </w:rPr>
              <w:t xml:space="preserve">letters </w:t>
            </w:r>
            <w:r w:rsidRPr="000D595E">
              <w:rPr>
                <w:rFonts w:ascii="Garamond" w:hAnsi="Garamond"/>
                <w:bCs/>
                <w:sz w:val="24"/>
                <w:szCs w:val="24"/>
              </w:rPr>
              <w:t>and initial appt letter</w:t>
            </w:r>
          </w:p>
        </w:tc>
        <w:tc>
          <w:tcPr>
            <w:tcW w:w="2160" w:type="dxa"/>
          </w:tcPr>
          <w:p w14:paraId="0C2726E8" w14:textId="77777777" w:rsidR="0070121E" w:rsidRPr="000D595E" w:rsidRDefault="0070121E" w:rsidP="00145192">
            <w:pPr>
              <w:rPr>
                <w:rFonts w:ascii="Garamond" w:hAnsi="Garamond"/>
                <w:bCs/>
                <w:sz w:val="24"/>
                <w:szCs w:val="24"/>
              </w:rPr>
            </w:pPr>
            <w:r w:rsidRPr="000D595E">
              <w:rPr>
                <w:rFonts w:ascii="Garamond" w:hAnsi="Garamond"/>
                <w:bCs/>
                <w:sz w:val="24"/>
                <w:szCs w:val="24"/>
              </w:rPr>
              <w:t>Required by CBA</w:t>
            </w:r>
          </w:p>
        </w:tc>
        <w:tc>
          <w:tcPr>
            <w:tcW w:w="3324" w:type="dxa"/>
            <w:shd w:val="clear" w:color="auto" w:fill="auto"/>
          </w:tcPr>
          <w:p w14:paraId="550C58CA" w14:textId="37ED0C6F" w:rsidR="0070121E" w:rsidRPr="000D595E" w:rsidRDefault="00C11D0A" w:rsidP="00145192">
            <w:pPr>
              <w:rPr>
                <w:rFonts w:ascii="Garamond" w:hAnsi="Garamond"/>
                <w:bCs/>
                <w:sz w:val="24"/>
                <w:szCs w:val="24"/>
              </w:rPr>
            </w:pPr>
            <w:r w:rsidRPr="000D595E">
              <w:rPr>
                <w:rFonts w:ascii="Garamond" w:hAnsi="Garamond"/>
                <w:bCs/>
                <w:sz w:val="24"/>
                <w:szCs w:val="24"/>
              </w:rPr>
              <w:t>Recommended</w:t>
            </w:r>
          </w:p>
        </w:tc>
      </w:tr>
      <w:tr w:rsidR="0070121E" w:rsidRPr="000D595E" w14:paraId="1E4B23A9" w14:textId="77777777" w:rsidTr="009E3F14">
        <w:trPr>
          <w:trHeight w:val="315"/>
        </w:trPr>
        <w:tc>
          <w:tcPr>
            <w:tcW w:w="5130" w:type="dxa"/>
          </w:tcPr>
          <w:p w14:paraId="6B929C6C" w14:textId="77777777" w:rsidR="0070121E" w:rsidRPr="000D595E" w:rsidRDefault="0070121E" w:rsidP="00145192">
            <w:pPr>
              <w:rPr>
                <w:rFonts w:ascii="Garamond" w:hAnsi="Garamond"/>
                <w:bCs/>
                <w:sz w:val="24"/>
                <w:szCs w:val="24"/>
              </w:rPr>
            </w:pPr>
            <w:r w:rsidRPr="000D595E">
              <w:rPr>
                <w:rFonts w:ascii="Garamond" w:hAnsi="Garamond"/>
                <w:bCs/>
                <w:sz w:val="24"/>
                <w:szCs w:val="24"/>
              </w:rPr>
              <w:t>Evidence of effective teaching</w:t>
            </w:r>
          </w:p>
        </w:tc>
        <w:tc>
          <w:tcPr>
            <w:tcW w:w="2160" w:type="dxa"/>
          </w:tcPr>
          <w:p w14:paraId="7287BBE4" w14:textId="77777777" w:rsidR="0070121E" w:rsidRPr="000D595E" w:rsidRDefault="0070121E" w:rsidP="00145192">
            <w:pPr>
              <w:rPr>
                <w:rFonts w:ascii="Garamond" w:hAnsi="Garamond"/>
                <w:bCs/>
                <w:sz w:val="24"/>
                <w:szCs w:val="24"/>
              </w:rPr>
            </w:pPr>
            <w:r w:rsidRPr="000D595E">
              <w:rPr>
                <w:rFonts w:ascii="Garamond" w:hAnsi="Garamond"/>
                <w:bCs/>
                <w:sz w:val="24"/>
                <w:szCs w:val="24"/>
              </w:rPr>
              <w:t>Required by CBA</w:t>
            </w:r>
          </w:p>
        </w:tc>
        <w:tc>
          <w:tcPr>
            <w:tcW w:w="3324" w:type="dxa"/>
            <w:shd w:val="clear" w:color="auto" w:fill="auto"/>
          </w:tcPr>
          <w:p w14:paraId="5C3FFFF4" w14:textId="35C11BED" w:rsidR="0070121E" w:rsidRPr="000D595E" w:rsidRDefault="00DC1471" w:rsidP="00145192">
            <w:pPr>
              <w:rPr>
                <w:rFonts w:ascii="Garamond" w:hAnsi="Garamond"/>
                <w:bCs/>
                <w:sz w:val="24"/>
                <w:szCs w:val="24"/>
              </w:rPr>
            </w:pPr>
            <w:r w:rsidRPr="000D595E">
              <w:rPr>
                <w:rFonts w:ascii="Garamond" w:hAnsi="Garamond"/>
                <w:bCs/>
                <w:sz w:val="24"/>
                <w:szCs w:val="24"/>
              </w:rPr>
              <w:t xml:space="preserve">CBA </w:t>
            </w:r>
            <w:r w:rsidR="00515871" w:rsidRPr="000D595E">
              <w:rPr>
                <w:rFonts w:ascii="Garamond" w:hAnsi="Garamond"/>
                <w:bCs/>
                <w:sz w:val="24"/>
                <w:szCs w:val="24"/>
              </w:rPr>
              <w:t xml:space="preserve">Required </w:t>
            </w:r>
          </w:p>
        </w:tc>
      </w:tr>
      <w:tr w:rsidR="0070121E" w:rsidRPr="000D595E" w14:paraId="2CDFD257" w14:textId="77777777" w:rsidTr="009E3F14">
        <w:trPr>
          <w:trHeight w:val="334"/>
        </w:trPr>
        <w:tc>
          <w:tcPr>
            <w:tcW w:w="5130" w:type="dxa"/>
          </w:tcPr>
          <w:p w14:paraId="43A3D313" w14:textId="77777777" w:rsidR="0070121E" w:rsidRPr="000D595E" w:rsidRDefault="0070121E" w:rsidP="00145192">
            <w:pPr>
              <w:rPr>
                <w:rFonts w:ascii="Garamond" w:hAnsi="Garamond"/>
                <w:bCs/>
                <w:sz w:val="24"/>
                <w:szCs w:val="24"/>
              </w:rPr>
            </w:pPr>
            <w:r w:rsidRPr="000D595E">
              <w:rPr>
                <w:rFonts w:ascii="Garamond" w:hAnsi="Garamond"/>
                <w:bCs/>
                <w:sz w:val="24"/>
                <w:szCs w:val="24"/>
              </w:rPr>
              <w:t>Evidence of scholarship and/or creative activity</w:t>
            </w:r>
          </w:p>
        </w:tc>
        <w:tc>
          <w:tcPr>
            <w:tcW w:w="2160" w:type="dxa"/>
          </w:tcPr>
          <w:p w14:paraId="7EE56115" w14:textId="77777777" w:rsidR="0070121E" w:rsidRPr="000D595E" w:rsidRDefault="0070121E" w:rsidP="00145192">
            <w:pPr>
              <w:rPr>
                <w:rFonts w:ascii="Garamond" w:hAnsi="Garamond"/>
                <w:bCs/>
                <w:sz w:val="24"/>
                <w:szCs w:val="24"/>
              </w:rPr>
            </w:pPr>
            <w:r w:rsidRPr="000D595E">
              <w:rPr>
                <w:rFonts w:ascii="Garamond" w:hAnsi="Garamond"/>
                <w:bCs/>
                <w:sz w:val="24"/>
                <w:szCs w:val="24"/>
              </w:rPr>
              <w:t>Required by CBA</w:t>
            </w:r>
          </w:p>
        </w:tc>
        <w:tc>
          <w:tcPr>
            <w:tcW w:w="3324" w:type="dxa"/>
            <w:shd w:val="clear" w:color="auto" w:fill="auto"/>
          </w:tcPr>
          <w:p w14:paraId="40CA5306" w14:textId="716107F4" w:rsidR="0070121E" w:rsidRPr="000D595E" w:rsidRDefault="00DC1471" w:rsidP="00145192">
            <w:pPr>
              <w:rPr>
                <w:rFonts w:ascii="Garamond" w:hAnsi="Garamond"/>
                <w:bCs/>
                <w:sz w:val="24"/>
                <w:szCs w:val="24"/>
              </w:rPr>
            </w:pPr>
            <w:r w:rsidRPr="000D595E">
              <w:rPr>
                <w:rFonts w:ascii="Garamond" w:hAnsi="Garamond"/>
                <w:bCs/>
                <w:sz w:val="24"/>
                <w:szCs w:val="24"/>
              </w:rPr>
              <w:t xml:space="preserve">CBA </w:t>
            </w:r>
            <w:r w:rsidR="00515871" w:rsidRPr="000D595E">
              <w:rPr>
                <w:rFonts w:ascii="Garamond" w:hAnsi="Garamond"/>
                <w:bCs/>
                <w:sz w:val="24"/>
                <w:szCs w:val="24"/>
              </w:rPr>
              <w:t>Required if in current LOA</w:t>
            </w:r>
          </w:p>
        </w:tc>
      </w:tr>
      <w:tr w:rsidR="0070121E" w:rsidRPr="000D595E" w14:paraId="0ECABAF1" w14:textId="77777777" w:rsidTr="009E3F14">
        <w:trPr>
          <w:trHeight w:val="334"/>
        </w:trPr>
        <w:tc>
          <w:tcPr>
            <w:tcW w:w="5130" w:type="dxa"/>
          </w:tcPr>
          <w:p w14:paraId="2195202F" w14:textId="77777777" w:rsidR="0070121E" w:rsidRPr="000D595E" w:rsidRDefault="0070121E" w:rsidP="00145192">
            <w:pPr>
              <w:rPr>
                <w:rFonts w:ascii="Garamond" w:hAnsi="Garamond"/>
                <w:bCs/>
                <w:sz w:val="24"/>
                <w:szCs w:val="24"/>
              </w:rPr>
            </w:pPr>
            <w:r w:rsidRPr="000D595E">
              <w:rPr>
                <w:rFonts w:ascii="Garamond" w:hAnsi="Garamond"/>
                <w:bCs/>
                <w:sz w:val="24"/>
                <w:szCs w:val="24"/>
              </w:rPr>
              <w:t>Evidence of Service</w:t>
            </w:r>
          </w:p>
        </w:tc>
        <w:tc>
          <w:tcPr>
            <w:tcW w:w="2160" w:type="dxa"/>
          </w:tcPr>
          <w:p w14:paraId="710076F9" w14:textId="77777777" w:rsidR="0070121E" w:rsidRPr="000D595E" w:rsidRDefault="0070121E" w:rsidP="00145192">
            <w:pPr>
              <w:rPr>
                <w:rFonts w:ascii="Garamond" w:hAnsi="Garamond"/>
                <w:bCs/>
                <w:sz w:val="24"/>
                <w:szCs w:val="24"/>
              </w:rPr>
            </w:pPr>
            <w:r w:rsidRPr="000D595E">
              <w:rPr>
                <w:rFonts w:ascii="Garamond" w:hAnsi="Garamond"/>
                <w:bCs/>
                <w:sz w:val="24"/>
                <w:szCs w:val="24"/>
              </w:rPr>
              <w:t>Required by CBA</w:t>
            </w:r>
          </w:p>
        </w:tc>
        <w:tc>
          <w:tcPr>
            <w:tcW w:w="3324" w:type="dxa"/>
            <w:shd w:val="clear" w:color="auto" w:fill="auto"/>
          </w:tcPr>
          <w:p w14:paraId="39E12EBC" w14:textId="17091DCB" w:rsidR="0070121E" w:rsidRPr="000D595E" w:rsidRDefault="00DC1471" w:rsidP="00145192">
            <w:pPr>
              <w:rPr>
                <w:rFonts w:ascii="Garamond" w:hAnsi="Garamond"/>
                <w:bCs/>
                <w:sz w:val="24"/>
                <w:szCs w:val="24"/>
              </w:rPr>
            </w:pPr>
            <w:r w:rsidRPr="000D595E">
              <w:rPr>
                <w:rFonts w:ascii="Garamond" w:hAnsi="Garamond"/>
                <w:bCs/>
                <w:sz w:val="24"/>
                <w:szCs w:val="24"/>
              </w:rPr>
              <w:t xml:space="preserve">CBA </w:t>
            </w:r>
            <w:r w:rsidR="00515871" w:rsidRPr="000D595E">
              <w:rPr>
                <w:rFonts w:ascii="Garamond" w:hAnsi="Garamond"/>
                <w:bCs/>
                <w:sz w:val="24"/>
                <w:szCs w:val="24"/>
              </w:rPr>
              <w:t>Required if in current LOA</w:t>
            </w:r>
          </w:p>
        </w:tc>
      </w:tr>
      <w:tr w:rsidR="0070121E" w:rsidRPr="000D595E" w14:paraId="395C865E" w14:textId="77777777" w:rsidTr="009E3F14">
        <w:trPr>
          <w:trHeight w:val="315"/>
        </w:trPr>
        <w:tc>
          <w:tcPr>
            <w:tcW w:w="5130" w:type="dxa"/>
          </w:tcPr>
          <w:p w14:paraId="12725E76" w14:textId="77777777" w:rsidR="0070121E" w:rsidRPr="000D595E" w:rsidRDefault="0070121E" w:rsidP="00145192">
            <w:pPr>
              <w:rPr>
                <w:rFonts w:ascii="Garamond" w:hAnsi="Garamond"/>
                <w:bCs/>
                <w:sz w:val="24"/>
                <w:szCs w:val="24"/>
              </w:rPr>
            </w:pPr>
            <w:r w:rsidRPr="000D595E">
              <w:rPr>
                <w:rFonts w:ascii="Garamond" w:hAnsi="Garamond"/>
                <w:bCs/>
                <w:sz w:val="24"/>
                <w:szCs w:val="24"/>
              </w:rPr>
              <w:t>Copy of relevant unit guidelines &amp; criteria</w:t>
            </w:r>
          </w:p>
        </w:tc>
        <w:tc>
          <w:tcPr>
            <w:tcW w:w="2160" w:type="dxa"/>
          </w:tcPr>
          <w:p w14:paraId="489E7D1A" w14:textId="25D7DFF9" w:rsidR="0070121E" w:rsidRPr="000D595E" w:rsidRDefault="0070121E" w:rsidP="00145192">
            <w:pPr>
              <w:rPr>
                <w:rFonts w:ascii="Garamond" w:hAnsi="Garamond"/>
                <w:bCs/>
                <w:sz w:val="24"/>
                <w:szCs w:val="24"/>
              </w:rPr>
            </w:pPr>
            <w:r w:rsidRPr="000D595E">
              <w:rPr>
                <w:rFonts w:ascii="Garamond" w:hAnsi="Garamond"/>
                <w:bCs/>
                <w:sz w:val="24"/>
                <w:szCs w:val="24"/>
              </w:rPr>
              <w:t>Re</w:t>
            </w:r>
            <w:r w:rsidR="009501DD">
              <w:rPr>
                <w:rFonts w:ascii="Garamond" w:hAnsi="Garamond"/>
                <w:bCs/>
                <w:sz w:val="24"/>
                <w:szCs w:val="24"/>
              </w:rPr>
              <w:t>commended</w:t>
            </w:r>
          </w:p>
        </w:tc>
        <w:tc>
          <w:tcPr>
            <w:tcW w:w="3324" w:type="dxa"/>
            <w:shd w:val="clear" w:color="auto" w:fill="auto"/>
          </w:tcPr>
          <w:p w14:paraId="03323D0B" w14:textId="39BF1F4B" w:rsidR="0070121E" w:rsidRPr="000D595E" w:rsidRDefault="0070121E" w:rsidP="00145192">
            <w:pPr>
              <w:rPr>
                <w:rFonts w:ascii="Garamond" w:hAnsi="Garamond"/>
                <w:bCs/>
                <w:sz w:val="24"/>
                <w:szCs w:val="24"/>
              </w:rPr>
            </w:pPr>
            <w:r w:rsidRPr="000D595E">
              <w:rPr>
                <w:rFonts w:ascii="Garamond" w:hAnsi="Garamond"/>
                <w:bCs/>
                <w:sz w:val="24"/>
                <w:szCs w:val="24"/>
              </w:rPr>
              <w:t>Re</w:t>
            </w:r>
            <w:r w:rsidR="009501DD">
              <w:rPr>
                <w:rFonts w:ascii="Garamond" w:hAnsi="Garamond"/>
                <w:bCs/>
                <w:sz w:val="24"/>
                <w:szCs w:val="24"/>
              </w:rPr>
              <w:t>commended</w:t>
            </w:r>
          </w:p>
        </w:tc>
      </w:tr>
      <w:tr w:rsidR="0070121E" w:rsidRPr="000D595E" w14:paraId="28163E1B" w14:textId="77777777" w:rsidTr="009E3F14">
        <w:trPr>
          <w:trHeight w:val="315"/>
        </w:trPr>
        <w:tc>
          <w:tcPr>
            <w:tcW w:w="5130" w:type="dxa"/>
          </w:tcPr>
          <w:p w14:paraId="2D9BA6E8" w14:textId="12791620" w:rsidR="0070121E" w:rsidRPr="000D595E" w:rsidRDefault="0070121E" w:rsidP="00145192">
            <w:pPr>
              <w:rPr>
                <w:rFonts w:ascii="Garamond" w:hAnsi="Garamond"/>
                <w:bCs/>
                <w:sz w:val="24"/>
                <w:szCs w:val="24"/>
              </w:rPr>
            </w:pPr>
            <w:r w:rsidRPr="000D595E">
              <w:rPr>
                <w:rFonts w:ascii="Garamond" w:hAnsi="Garamond"/>
                <w:bCs/>
                <w:sz w:val="24"/>
                <w:szCs w:val="24"/>
              </w:rPr>
              <w:t xml:space="preserve">At least </w:t>
            </w:r>
            <w:r w:rsidR="00DC1471" w:rsidRPr="000D595E">
              <w:rPr>
                <w:rFonts w:ascii="Garamond" w:hAnsi="Garamond"/>
                <w:bCs/>
                <w:sz w:val="24"/>
                <w:szCs w:val="24"/>
              </w:rPr>
              <w:t xml:space="preserve">3 </w:t>
            </w:r>
            <w:r w:rsidRPr="000D595E">
              <w:rPr>
                <w:rFonts w:ascii="Garamond" w:hAnsi="Garamond"/>
                <w:bCs/>
                <w:sz w:val="24"/>
                <w:szCs w:val="24"/>
              </w:rPr>
              <w:t>external review letters</w:t>
            </w:r>
            <w:r w:rsidR="009E3F14" w:rsidRPr="000D595E">
              <w:rPr>
                <w:rFonts w:ascii="Garamond" w:hAnsi="Garamond"/>
                <w:bCs/>
                <w:sz w:val="24"/>
                <w:szCs w:val="24"/>
              </w:rPr>
              <w:t>,</w:t>
            </w:r>
            <w:r w:rsidRPr="000D595E">
              <w:rPr>
                <w:rFonts w:ascii="Garamond" w:hAnsi="Garamond"/>
                <w:bCs/>
                <w:sz w:val="24"/>
                <w:szCs w:val="24"/>
              </w:rPr>
              <w:t xml:space="preserve"> RTP Chair</w:t>
            </w:r>
            <w:r w:rsidR="009E3F14" w:rsidRPr="000D595E">
              <w:rPr>
                <w:rFonts w:ascii="Garamond" w:hAnsi="Garamond"/>
                <w:bCs/>
                <w:sz w:val="24"/>
                <w:szCs w:val="24"/>
              </w:rPr>
              <w:t xml:space="preserve"> adds</w:t>
            </w:r>
          </w:p>
        </w:tc>
        <w:tc>
          <w:tcPr>
            <w:tcW w:w="2160" w:type="dxa"/>
          </w:tcPr>
          <w:p w14:paraId="475EEC32" w14:textId="24E93647" w:rsidR="0070121E" w:rsidRPr="000D595E" w:rsidRDefault="0070121E" w:rsidP="00145192">
            <w:pPr>
              <w:rPr>
                <w:rFonts w:ascii="Garamond" w:hAnsi="Garamond"/>
                <w:bCs/>
                <w:sz w:val="24"/>
                <w:szCs w:val="24"/>
              </w:rPr>
            </w:pPr>
            <w:r w:rsidRPr="000D595E">
              <w:rPr>
                <w:rFonts w:ascii="Garamond" w:hAnsi="Garamond"/>
                <w:bCs/>
                <w:sz w:val="24"/>
                <w:szCs w:val="24"/>
              </w:rPr>
              <w:t>Required for T</w:t>
            </w:r>
            <w:r w:rsidR="00D975AC" w:rsidRPr="000D595E">
              <w:rPr>
                <w:rFonts w:ascii="Garamond" w:hAnsi="Garamond"/>
                <w:bCs/>
                <w:sz w:val="24"/>
                <w:szCs w:val="24"/>
              </w:rPr>
              <w:t>/</w:t>
            </w:r>
            <w:r w:rsidRPr="000D595E">
              <w:rPr>
                <w:rFonts w:ascii="Garamond" w:hAnsi="Garamond"/>
                <w:bCs/>
                <w:sz w:val="24"/>
                <w:szCs w:val="24"/>
              </w:rPr>
              <w:t>P</w:t>
            </w:r>
          </w:p>
        </w:tc>
        <w:tc>
          <w:tcPr>
            <w:tcW w:w="3324" w:type="dxa"/>
            <w:shd w:val="clear" w:color="auto" w:fill="auto"/>
          </w:tcPr>
          <w:p w14:paraId="1F9812CE" w14:textId="77777777" w:rsidR="0070121E" w:rsidRPr="000D595E" w:rsidRDefault="0070121E" w:rsidP="00145192">
            <w:pPr>
              <w:rPr>
                <w:rFonts w:ascii="Garamond" w:hAnsi="Garamond"/>
                <w:bCs/>
                <w:sz w:val="24"/>
                <w:szCs w:val="24"/>
              </w:rPr>
            </w:pPr>
            <w:r w:rsidRPr="000D595E">
              <w:rPr>
                <w:rFonts w:ascii="Garamond" w:hAnsi="Garamond"/>
                <w:bCs/>
                <w:sz w:val="24"/>
                <w:szCs w:val="24"/>
              </w:rPr>
              <w:t>NA</w:t>
            </w:r>
          </w:p>
        </w:tc>
      </w:tr>
    </w:tbl>
    <w:p w14:paraId="0361957F" w14:textId="77777777" w:rsidR="0028787A" w:rsidRPr="000D595E" w:rsidRDefault="0028787A" w:rsidP="003F1455">
      <w:pPr>
        <w:jc w:val="center"/>
        <w:rPr>
          <w:b/>
          <w:sz w:val="22"/>
        </w:rPr>
      </w:pPr>
    </w:p>
    <w:p w14:paraId="1666A41A" w14:textId="77777777" w:rsidR="009501DD" w:rsidRDefault="009501DD" w:rsidP="003F1455">
      <w:pPr>
        <w:jc w:val="center"/>
        <w:rPr>
          <w:b/>
          <w:sz w:val="22"/>
        </w:rPr>
      </w:pPr>
    </w:p>
    <w:p w14:paraId="2038ADFF" w14:textId="77777777" w:rsidR="009501DD" w:rsidRDefault="009501DD" w:rsidP="003F1455">
      <w:pPr>
        <w:jc w:val="center"/>
        <w:rPr>
          <w:b/>
          <w:sz w:val="22"/>
        </w:rPr>
      </w:pPr>
    </w:p>
    <w:p w14:paraId="05C2E45D" w14:textId="7AB22B6B" w:rsidR="00D040BE" w:rsidRPr="000D595E" w:rsidRDefault="000E44FC" w:rsidP="003F1455">
      <w:pPr>
        <w:jc w:val="center"/>
        <w:rPr>
          <w:sz w:val="22"/>
        </w:rPr>
      </w:pPr>
      <w:r w:rsidRPr="000F58AD">
        <w:rPr>
          <w:b/>
          <w:sz w:val="22"/>
        </w:rPr>
        <w:t xml:space="preserve">RTP </w:t>
      </w:r>
      <w:r w:rsidR="00D040BE" w:rsidRPr="000F58AD">
        <w:rPr>
          <w:b/>
          <w:sz w:val="22"/>
        </w:rPr>
        <w:t>Review</w:t>
      </w:r>
    </w:p>
    <w:p w14:paraId="476CE5B8" w14:textId="5E90D065" w:rsidR="0048392B" w:rsidRPr="000D595E" w:rsidRDefault="000E39B0" w:rsidP="00D040BE">
      <w:pPr>
        <w:spacing w:after="0"/>
        <w:rPr>
          <w:sz w:val="22"/>
        </w:rPr>
      </w:pPr>
      <w:r w:rsidRPr="000D595E">
        <w:rPr>
          <w:i/>
          <w:iCs/>
          <w:sz w:val="22"/>
        </w:rPr>
        <w:t xml:space="preserve">RTP Committee: </w:t>
      </w:r>
      <w:r w:rsidRPr="000D595E">
        <w:rPr>
          <w:sz w:val="22"/>
        </w:rPr>
        <w:t>“All tenured bargaining unit members of the academic unit who have completed at least one year of service at the university…are eligible to serve on reappointment and tenure committees. Only those tenured and with rank above that of the candidate may serve on promotion committees.”</w:t>
      </w:r>
      <w:r w:rsidR="004012FB" w:rsidRPr="000D595E">
        <w:rPr>
          <w:sz w:val="22"/>
        </w:rPr>
        <w:t xml:space="preserve"> </w:t>
      </w:r>
      <w:r w:rsidR="004012FB" w:rsidRPr="000F58AD">
        <w:rPr>
          <w:sz w:val="22"/>
        </w:rPr>
        <w:t xml:space="preserve">NOTE: </w:t>
      </w:r>
      <w:r w:rsidR="00D32849" w:rsidRPr="000D595E">
        <w:rPr>
          <w:sz w:val="22"/>
        </w:rPr>
        <w:t>Please r</w:t>
      </w:r>
      <w:r w:rsidR="00EA1167" w:rsidRPr="000D595E">
        <w:rPr>
          <w:sz w:val="22"/>
        </w:rPr>
        <w:t>emind committees</w:t>
      </w:r>
      <w:r w:rsidR="00EE206C" w:rsidRPr="000D595E">
        <w:rPr>
          <w:sz w:val="22"/>
        </w:rPr>
        <w:t xml:space="preserve"> that we expect them</w:t>
      </w:r>
      <w:r w:rsidR="00EA1167" w:rsidRPr="000D595E">
        <w:rPr>
          <w:sz w:val="22"/>
        </w:rPr>
        <w:t xml:space="preserve"> to use the </w:t>
      </w:r>
      <w:r w:rsidR="00EE206C" w:rsidRPr="000D595E">
        <w:rPr>
          <w:sz w:val="22"/>
        </w:rPr>
        <w:t xml:space="preserve">letter </w:t>
      </w:r>
      <w:r w:rsidR="00EA1167" w:rsidRPr="000D595E">
        <w:rPr>
          <w:sz w:val="22"/>
        </w:rPr>
        <w:t>template</w:t>
      </w:r>
      <w:r w:rsidR="0083031C" w:rsidRPr="000D595E">
        <w:rPr>
          <w:sz w:val="22"/>
        </w:rPr>
        <w:t xml:space="preserve"> </w:t>
      </w:r>
      <w:r w:rsidR="00D32849" w:rsidRPr="000D595E">
        <w:rPr>
          <w:sz w:val="22"/>
        </w:rPr>
        <w:t>found in the BCAS Chair and Directors Team in the Templates folder.</w:t>
      </w:r>
      <w:r w:rsidR="00477BBE" w:rsidRPr="000D595E">
        <w:rPr>
          <w:sz w:val="22"/>
        </w:rPr>
        <w:t xml:space="preserve"> Please remember that we also expect chairs and directors to use the chair/director </w:t>
      </w:r>
      <w:r w:rsidR="002F2335" w:rsidRPr="000D595E">
        <w:rPr>
          <w:sz w:val="22"/>
        </w:rPr>
        <w:t>template in the same folder.</w:t>
      </w:r>
    </w:p>
    <w:p w14:paraId="454CDE01" w14:textId="77777777" w:rsidR="0048392B" w:rsidRPr="000D595E" w:rsidRDefault="0048392B" w:rsidP="00D040BE">
      <w:pPr>
        <w:spacing w:after="0"/>
        <w:rPr>
          <w:sz w:val="22"/>
        </w:rPr>
      </w:pPr>
    </w:p>
    <w:p w14:paraId="20BF85A6" w14:textId="59245FEC" w:rsidR="00D040BE" w:rsidRPr="000D595E" w:rsidRDefault="00D040BE" w:rsidP="00D040BE">
      <w:pPr>
        <w:spacing w:after="0"/>
        <w:rPr>
          <w:sz w:val="22"/>
        </w:rPr>
      </w:pPr>
      <w:r w:rsidRPr="000D595E">
        <w:rPr>
          <w:b/>
          <w:bCs/>
          <w:sz w:val="22"/>
        </w:rPr>
        <w:t>Fall of Year One:</w:t>
      </w:r>
      <w:r w:rsidRPr="000D595E">
        <w:rPr>
          <w:sz w:val="22"/>
        </w:rPr>
        <w:t xml:space="preserve"> no review</w:t>
      </w:r>
    </w:p>
    <w:p w14:paraId="6E76FE2E" w14:textId="2F7E4F57" w:rsidR="00D040BE" w:rsidRPr="000D595E" w:rsidRDefault="00D040BE" w:rsidP="00D040BE">
      <w:pPr>
        <w:spacing w:after="0"/>
        <w:rPr>
          <w:sz w:val="22"/>
        </w:rPr>
      </w:pPr>
      <w:r w:rsidRPr="000D595E">
        <w:rPr>
          <w:b/>
          <w:bCs/>
          <w:sz w:val="22"/>
        </w:rPr>
        <w:t>Fall of Years Two, Three, and Five:</w:t>
      </w:r>
      <w:r w:rsidRPr="000D595E">
        <w:rPr>
          <w:sz w:val="22"/>
        </w:rPr>
        <w:t xml:space="preserve"> review by unit, unit leader, and dean</w:t>
      </w:r>
      <w:r w:rsidR="0022169D" w:rsidRPr="000D595E">
        <w:rPr>
          <w:sz w:val="22"/>
        </w:rPr>
        <w:t>…and by provost if any of the preceding recommendations is negative</w:t>
      </w:r>
    </w:p>
    <w:p w14:paraId="6602127C" w14:textId="108B9AFE" w:rsidR="00D040BE" w:rsidRPr="000D595E" w:rsidRDefault="00D040BE" w:rsidP="00D040BE">
      <w:pPr>
        <w:spacing w:after="0"/>
        <w:rPr>
          <w:sz w:val="22"/>
        </w:rPr>
      </w:pPr>
      <w:r w:rsidRPr="000D595E">
        <w:rPr>
          <w:b/>
          <w:bCs/>
          <w:sz w:val="22"/>
        </w:rPr>
        <w:t xml:space="preserve">Fall of Year Four: </w:t>
      </w:r>
      <w:r w:rsidR="0022169D" w:rsidRPr="000D595E">
        <w:rPr>
          <w:sz w:val="22"/>
        </w:rPr>
        <w:t xml:space="preserve">review by unit, unit leader, dean, and </w:t>
      </w:r>
      <w:r w:rsidRPr="000D595E">
        <w:rPr>
          <w:sz w:val="22"/>
        </w:rPr>
        <w:t>provost</w:t>
      </w:r>
    </w:p>
    <w:p w14:paraId="788C0EE9" w14:textId="30EDAC1F" w:rsidR="00D040BE" w:rsidRPr="000D595E" w:rsidRDefault="00D040BE" w:rsidP="00D040BE">
      <w:pPr>
        <w:spacing w:after="0"/>
        <w:rPr>
          <w:sz w:val="22"/>
        </w:rPr>
      </w:pPr>
      <w:r w:rsidRPr="000D595E">
        <w:rPr>
          <w:b/>
          <w:bCs/>
          <w:sz w:val="22"/>
        </w:rPr>
        <w:t>Fall of Year Six:</w:t>
      </w:r>
      <w:r w:rsidRPr="000D595E">
        <w:rPr>
          <w:sz w:val="22"/>
        </w:rPr>
        <w:t xml:space="preserve"> candidates submit application for tenure and promotion</w:t>
      </w:r>
      <w:r w:rsidR="0022169D" w:rsidRPr="000D595E">
        <w:rPr>
          <w:sz w:val="22"/>
        </w:rPr>
        <w:t>. Review by unit, unit leader, college, dean, and provost</w:t>
      </w:r>
    </w:p>
    <w:p w14:paraId="28F10059" w14:textId="40A71D11" w:rsidR="0048392B" w:rsidRPr="000D595E" w:rsidRDefault="0048392B" w:rsidP="00D040BE">
      <w:pPr>
        <w:spacing w:after="0"/>
        <w:rPr>
          <w:sz w:val="22"/>
        </w:rPr>
      </w:pPr>
    </w:p>
    <w:p w14:paraId="17B529F6" w14:textId="0A895DDF" w:rsidR="00D040BE" w:rsidRPr="000D595E" w:rsidRDefault="0048392B" w:rsidP="00021E29">
      <w:pPr>
        <w:spacing w:after="0"/>
        <w:rPr>
          <w:sz w:val="22"/>
        </w:rPr>
      </w:pPr>
      <w:r w:rsidRPr="000D595E">
        <w:rPr>
          <w:i/>
          <w:iCs/>
          <w:sz w:val="22"/>
        </w:rPr>
        <w:t>Criteria:</w:t>
      </w:r>
      <w:r w:rsidRPr="000D595E">
        <w:rPr>
          <w:sz w:val="22"/>
        </w:rPr>
        <w:t xml:space="preserve"> </w:t>
      </w:r>
      <w:r w:rsidR="000437C5" w:rsidRPr="000D595E">
        <w:rPr>
          <w:sz w:val="22"/>
        </w:rPr>
        <w:t>Unit guidelines</w:t>
      </w:r>
      <w:r w:rsidR="00AF1E6E" w:rsidRPr="000D595E">
        <w:rPr>
          <w:sz w:val="22"/>
        </w:rPr>
        <w:t xml:space="preserve"> and “any additional expectations that may have been expressed in the candidate’s initial appointment letter.”</w:t>
      </w:r>
      <w:r w:rsidR="00D55F39" w:rsidRPr="000D595E">
        <w:rPr>
          <w:sz w:val="22"/>
        </w:rPr>
        <w:t xml:space="preserve"> (Article 13 Section 6E8)</w:t>
      </w:r>
    </w:p>
    <w:p w14:paraId="52E2E158" w14:textId="77777777" w:rsidR="00021E29" w:rsidRPr="000D595E" w:rsidRDefault="00021E29" w:rsidP="00021E29">
      <w:pPr>
        <w:spacing w:after="0"/>
        <w:rPr>
          <w:sz w:val="22"/>
        </w:rPr>
      </w:pPr>
    </w:p>
    <w:p w14:paraId="04C58A93" w14:textId="5B91EF82" w:rsidR="0022169D" w:rsidRPr="000D595E" w:rsidRDefault="0022169D" w:rsidP="003F1455">
      <w:pPr>
        <w:jc w:val="center"/>
        <w:rPr>
          <w:sz w:val="22"/>
        </w:rPr>
      </w:pPr>
      <w:r w:rsidRPr="000F58AD">
        <w:rPr>
          <w:b/>
          <w:bCs/>
          <w:sz w:val="22"/>
        </w:rPr>
        <w:t>NTT Evaluation</w:t>
      </w:r>
    </w:p>
    <w:p w14:paraId="1A95F4CA" w14:textId="77777777" w:rsidR="00974F98" w:rsidRPr="000D595E" w:rsidRDefault="603BD399" w:rsidP="0022169D">
      <w:pPr>
        <w:spacing w:after="0"/>
        <w:rPr>
          <w:sz w:val="22"/>
        </w:rPr>
      </w:pPr>
      <w:r w:rsidRPr="000D595E">
        <w:rPr>
          <w:i/>
          <w:iCs/>
          <w:sz w:val="22"/>
        </w:rPr>
        <w:t>NTT Evaluation Committee:</w:t>
      </w:r>
      <w:r w:rsidRPr="000D595E">
        <w:rPr>
          <w:sz w:val="22"/>
        </w:rPr>
        <w:t xml:space="preserve"> “In each department or school, all NTT faculty of a higher rank and all tenured faculty shall constitute the NTT Evaluation Committee.” </w:t>
      </w:r>
    </w:p>
    <w:p w14:paraId="7FF561FD" w14:textId="77777777" w:rsidR="00974F98" w:rsidRPr="000D595E" w:rsidRDefault="00974F98" w:rsidP="0022169D">
      <w:pPr>
        <w:spacing w:after="0"/>
        <w:rPr>
          <w:sz w:val="22"/>
        </w:rPr>
      </w:pPr>
    </w:p>
    <w:p w14:paraId="45B8EFB3" w14:textId="10BF6CDE" w:rsidR="000E39B0" w:rsidRPr="000D595E" w:rsidRDefault="002C5465" w:rsidP="0022169D">
      <w:pPr>
        <w:spacing w:after="0"/>
        <w:rPr>
          <w:sz w:val="22"/>
        </w:rPr>
      </w:pPr>
      <w:r w:rsidRPr="000D595E">
        <w:rPr>
          <w:i/>
          <w:iCs/>
          <w:sz w:val="22"/>
        </w:rPr>
        <w:t xml:space="preserve">Letters of Appointment: </w:t>
      </w:r>
      <w:r w:rsidR="603BD399" w:rsidRPr="000D595E">
        <w:rPr>
          <w:sz w:val="22"/>
        </w:rPr>
        <w:t>Every NTT receives a new letter of appointment</w:t>
      </w:r>
      <w:r w:rsidR="00E62A12" w:rsidRPr="000D595E">
        <w:rPr>
          <w:sz w:val="22"/>
        </w:rPr>
        <w:t xml:space="preserve"> (LOA)</w:t>
      </w:r>
      <w:r w:rsidR="603BD399" w:rsidRPr="000D595E">
        <w:rPr>
          <w:sz w:val="22"/>
        </w:rPr>
        <w:t xml:space="preserve"> annually for years 1-6</w:t>
      </w:r>
      <w:r w:rsidR="00E81A2F" w:rsidRPr="000D595E">
        <w:rPr>
          <w:sz w:val="22"/>
        </w:rPr>
        <w:t xml:space="preserve"> and year 10</w:t>
      </w:r>
      <w:r w:rsidR="603BD399" w:rsidRPr="000D595E">
        <w:rPr>
          <w:sz w:val="22"/>
        </w:rPr>
        <w:t xml:space="preserve"> and at the end of each 3-year or 5-year contract thereafter and any time there is a change in duties or promotion.</w:t>
      </w:r>
      <w:r w:rsidR="00E62A12" w:rsidRPr="000D595E">
        <w:rPr>
          <w:sz w:val="22"/>
        </w:rPr>
        <w:t xml:space="preserve"> </w:t>
      </w:r>
    </w:p>
    <w:p w14:paraId="23E6963D" w14:textId="77777777" w:rsidR="00A41CED" w:rsidRPr="000D595E" w:rsidRDefault="00A41CED" w:rsidP="0022169D">
      <w:pPr>
        <w:spacing w:after="0"/>
        <w:rPr>
          <w:sz w:val="22"/>
        </w:rPr>
      </w:pPr>
    </w:p>
    <w:p w14:paraId="089F8AAE" w14:textId="37B68942" w:rsidR="00A41CED" w:rsidRPr="000D595E" w:rsidRDefault="00A41CED" w:rsidP="0022169D">
      <w:pPr>
        <w:spacing w:after="0"/>
        <w:rPr>
          <w:sz w:val="22"/>
        </w:rPr>
      </w:pPr>
      <w:r w:rsidRPr="000D595E">
        <w:rPr>
          <w:i/>
          <w:iCs/>
          <w:sz w:val="22"/>
        </w:rPr>
        <w:t>Letters of Intent:</w:t>
      </w:r>
      <w:r w:rsidRPr="000D595E">
        <w:rPr>
          <w:sz w:val="22"/>
        </w:rPr>
        <w:t xml:space="preserve"> In the spring prior to any fall where an NTT will</w:t>
      </w:r>
      <w:r w:rsidR="00CD0313" w:rsidRPr="000D595E">
        <w:rPr>
          <w:sz w:val="22"/>
        </w:rPr>
        <w:t xml:space="preserve"> submit a file to</w:t>
      </w:r>
      <w:r w:rsidRPr="000D595E">
        <w:rPr>
          <w:sz w:val="22"/>
        </w:rPr>
        <w:t xml:space="preserve"> seek promotion (either to Associate or Professor) that NTT must submit a </w:t>
      </w:r>
      <w:r w:rsidRPr="000D595E">
        <w:rPr>
          <w:b/>
          <w:bCs/>
          <w:sz w:val="22"/>
        </w:rPr>
        <w:t>Letter of Intent</w:t>
      </w:r>
      <w:r w:rsidRPr="000D595E">
        <w:rPr>
          <w:sz w:val="22"/>
        </w:rPr>
        <w:t xml:space="preserve"> to their chair or director by April 15.</w:t>
      </w:r>
    </w:p>
    <w:p w14:paraId="3DBE8FC3" w14:textId="60D4B1F1" w:rsidR="603BD399" w:rsidRPr="000D595E" w:rsidRDefault="603BD399" w:rsidP="603BD399">
      <w:pPr>
        <w:spacing w:after="0"/>
        <w:rPr>
          <w:sz w:val="22"/>
        </w:rPr>
      </w:pPr>
    </w:p>
    <w:p w14:paraId="1330528D" w14:textId="6DD9DE25" w:rsidR="009A6D88" w:rsidRPr="000D595E" w:rsidRDefault="00A94ED0" w:rsidP="00C85033">
      <w:pPr>
        <w:pStyle w:val="xmsonormal"/>
        <w:shd w:val="clear" w:color="auto" w:fill="FFFFFF"/>
        <w:spacing w:before="0" w:beforeAutospacing="0" w:after="160" w:afterAutospacing="0"/>
        <w:textAlignment w:val="baseline"/>
        <w:rPr>
          <w:rFonts w:ascii="Garamond" w:hAnsi="Garamond" w:cs="Segoe UI"/>
          <w:sz w:val="22"/>
          <w:szCs w:val="22"/>
        </w:rPr>
      </w:pPr>
      <w:r w:rsidRPr="000D595E">
        <w:rPr>
          <w:rFonts w:ascii="Garamond" w:hAnsi="Garamond" w:cs="Segoe UI"/>
          <w:b/>
          <w:bCs/>
          <w:sz w:val="22"/>
          <w:szCs w:val="22"/>
        </w:rPr>
        <w:t>Fall of Year One:</w:t>
      </w:r>
      <w:r w:rsidRPr="000D595E">
        <w:rPr>
          <w:rFonts w:ascii="Garamond" w:hAnsi="Garamond" w:cs="Segoe UI"/>
          <w:sz w:val="22"/>
          <w:szCs w:val="22"/>
        </w:rPr>
        <w:t xml:space="preserve"> no review</w:t>
      </w:r>
      <w:r w:rsidR="000E2339" w:rsidRPr="000D595E">
        <w:rPr>
          <w:rFonts w:ascii="Garamond" w:hAnsi="Garamond" w:cs="Segoe UI"/>
          <w:sz w:val="22"/>
          <w:szCs w:val="22"/>
        </w:rPr>
        <w:t>.</w:t>
      </w:r>
      <w:r w:rsidRPr="000D595E">
        <w:rPr>
          <w:rFonts w:ascii="Garamond" w:hAnsi="Garamond" w:cs="Segoe UI"/>
          <w:sz w:val="22"/>
          <w:szCs w:val="22"/>
        </w:rPr>
        <w:br/>
      </w:r>
      <w:r w:rsidRPr="000D595E">
        <w:rPr>
          <w:rFonts w:ascii="Garamond" w:hAnsi="Garamond" w:cs="Segoe UI"/>
          <w:b/>
          <w:bCs/>
          <w:sz w:val="22"/>
          <w:szCs w:val="22"/>
        </w:rPr>
        <w:t>Fall of Years Two and Three:</w:t>
      </w:r>
      <w:r w:rsidRPr="000D595E">
        <w:rPr>
          <w:rFonts w:ascii="Garamond" w:hAnsi="Garamond" w:cs="Segoe UI"/>
          <w:sz w:val="22"/>
          <w:szCs w:val="22"/>
        </w:rPr>
        <w:t xml:space="preserve"> </w:t>
      </w:r>
      <w:r w:rsidR="005479E4" w:rsidRPr="000D595E">
        <w:rPr>
          <w:rFonts w:ascii="Garamond" w:hAnsi="Garamond" w:cs="Segoe UI"/>
          <w:sz w:val="22"/>
          <w:szCs w:val="22"/>
        </w:rPr>
        <w:t xml:space="preserve">File submitted for </w:t>
      </w:r>
      <w:r w:rsidRPr="000D595E">
        <w:rPr>
          <w:rFonts w:ascii="Garamond" w:hAnsi="Garamond" w:cs="Segoe UI"/>
          <w:sz w:val="22"/>
          <w:szCs w:val="22"/>
        </w:rPr>
        <w:t xml:space="preserve">annual review by unit, unit leader, dean…and by provost only if any of the proceeding </w:t>
      </w:r>
      <w:r w:rsidR="00716735" w:rsidRPr="000D595E">
        <w:rPr>
          <w:rFonts w:ascii="Garamond" w:hAnsi="Garamond" w:cs="Segoe UI"/>
          <w:sz w:val="22"/>
          <w:szCs w:val="22"/>
        </w:rPr>
        <w:t>recommendations is negative</w:t>
      </w:r>
      <w:r w:rsidR="000E2339" w:rsidRPr="000D595E">
        <w:rPr>
          <w:rFonts w:ascii="Garamond" w:hAnsi="Garamond" w:cs="Segoe UI"/>
          <w:sz w:val="22"/>
          <w:szCs w:val="22"/>
        </w:rPr>
        <w:t>.</w:t>
      </w:r>
      <w:r w:rsidR="00716735" w:rsidRPr="000D595E">
        <w:rPr>
          <w:rFonts w:ascii="Garamond" w:hAnsi="Garamond" w:cs="Segoe UI"/>
          <w:sz w:val="22"/>
          <w:szCs w:val="22"/>
        </w:rPr>
        <w:br/>
      </w:r>
      <w:r w:rsidRPr="000D595E">
        <w:rPr>
          <w:rFonts w:ascii="Garamond" w:hAnsi="Garamond" w:cs="Segoe UI"/>
          <w:b/>
          <w:bCs/>
          <w:sz w:val="22"/>
          <w:szCs w:val="22"/>
        </w:rPr>
        <w:t>Years Four-Five:</w:t>
      </w:r>
      <w:r w:rsidRPr="000D595E">
        <w:rPr>
          <w:rFonts w:ascii="Garamond" w:hAnsi="Garamond" w:cs="Segoe UI"/>
          <w:sz w:val="22"/>
          <w:szCs w:val="22"/>
        </w:rPr>
        <w:t> Director/Chair provides colleague with written performance feedback. No files submitted. </w:t>
      </w:r>
      <w:r w:rsidRPr="000D595E">
        <w:rPr>
          <w:rFonts w:ascii="Garamond" w:hAnsi="Garamond" w:cs="Segoe UI"/>
          <w:sz w:val="22"/>
          <w:szCs w:val="22"/>
        </w:rPr>
        <w:br/>
      </w:r>
      <w:r w:rsidRPr="000D595E">
        <w:rPr>
          <w:rFonts w:ascii="Garamond" w:hAnsi="Garamond" w:cs="Segoe UI"/>
          <w:b/>
          <w:bCs/>
          <w:sz w:val="22"/>
          <w:szCs w:val="22"/>
        </w:rPr>
        <w:t>Year Six:</w:t>
      </w:r>
      <w:r w:rsidRPr="000D595E">
        <w:rPr>
          <w:rFonts w:ascii="Garamond" w:hAnsi="Garamond" w:cs="Segoe UI"/>
          <w:sz w:val="22"/>
          <w:szCs w:val="22"/>
        </w:rPr>
        <w:t> F</w:t>
      </w:r>
      <w:r w:rsidR="005479E4" w:rsidRPr="000D595E">
        <w:rPr>
          <w:rFonts w:ascii="Garamond" w:hAnsi="Garamond" w:cs="Segoe UI"/>
          <w:sz w:val="22"/>
          <w:szCs w:val="22"/>
        </w:rPr>
        <w:t>ile submitted and f</w:t>
      </w:r>
      <w:r w:rsidRPr="000D595E">
        <w:rPr>
          <w:rFonts w:ascii="Garamond" w:hAnsi="Garamond" w:cs="Segoe UI"/>
          <w:sz w:val="22"/>
          <w:szCs w:val="22"/>
        </w:rPr>
        <w:t>ull review for reappointment and promotion to associate (3-yr contract) starts in fall by unit, unit leader, dean, and provost </w:t>
      </w:r>
      <w:r w:rsidR="00CF0186" w:rsidRPr="000D595E">
        <w:rPr>
          <w:rFonts w:ascii="Garamond" w:hAnsi="Garamond" w:cs="Segoe UI"/>
          <w:sz w:val="22"/>
          <w:szCs w:val="22"/>
        </w:rPr>
        <w:t>(29Sect5B5)</w:t>
      </w:r>
      <w:r w:rsidR="000E2339" w:rsidRPr="000D595E">
        <w:rPr>
          <w:rFonts w:ascii="Garamond" w:hAnsi="Garamond" w:cs="Segoe UI"/>
          <w:sz w:val="22"/>
          <w:szCs w:val="22"/>
        </w:rPr>
        <w:t>.</w:t>
      </w:r>
      <w:r w:rsidRPr="000D595E">
        <w:rPr>
          <w:rFonts w:ascii="Garamond" w:hAnsi="Garamond" w:cs="Segoe UI"/>
          <w:sz w:val="22"/>
          <w:szCs w:val="22"/>
        </w:rPr>
        <w:br/>
      </w:r>
      <w:r w:rsidRPr="000D595E">
        <w:rPr>
          <w:rFonts w:ascii="Garamond" w:hAnsi="Garamond" w:cs="Segoe UI"/>
          <w:b/>
          <w:bCs/>
          <w:sz w:val="22"/>
          <w:szCs w:val="22"/>
        </w:rPr>
        <w:t>Years Seven-Eight:</w:t>
      </w:r>
      <w:r w:rsidRPr="000D595E">
        <w:rPr>
          <w:rFonts w:ascii="Garamond" w:hAnsi="Garamond" w:cs="Segoe UI"/>
          <w:sz w:val="22"/>
          <w:szCs w:val="22"/>
        </w:rPr>
        <w:t> Director/Chair provides written feedback in years seven and eight. No files submitted. </w:t>
      </w:r>
      <w:r w:rsidR="00D8240A" w:rsidRPr="000D595E">
        <w:rPr>
          <w:rFonts w:ascii="Garamond" w:hAnsi="Garamond" w:cs="Segoe UI"/>
          <w:sz w:val="22"/>
          <w:szCs w:val="22"/>
        </w:rPr>
        <w:br/>
      </w:r>
      <w:r w:rsidRPr="000D595E">
        <w:rPr>
          <w:rFonts w:ascii="Garamond" w:hAnsi="Garamond" w:cs="Segoe UI"/>
          <w:b/>
          <w:bCs/>
          <w:sz w:val="22"/>
          <w:szCs w:val="22"/>
        </w:rPr>
        <w:t>Year Nine:</w:t>
      </w:r>
      <w:r w:rsidRPr="000D595E">
        <w:rPr>
          <w:rFonts w:ascii="Garamond" w:hAnsi="Garamond" w:cs="Segoe UI"/>
          <w:sz w:val="22"/>
          <w:szCs w:val="22"/>
        </w:rPr>
        <w:t xml:space="preserve"> F</w:t>
      </w:r>
      <w:r w:rsidR="00FF4837" w:rsidRPr="000D595E">
        <w:rPr>
          <w:rFonts w:ascii="Garamond" w:hAnsi="Garamond" w:cs="Segoe UI"/>
          <w:sz w:val="22"/>
          <w:szCs w:val="22"/>
        </w:rPr>
        <w:t>ile submitted and f</w:t>
      </w:r>
      <w:r w:rsidRPr="000D595E">
        <w:rPr>
          <w:rFonts w:ascii="Garamond" w:hAnsi="Garamond" w:cs="Segoe UI"/>
          <w:sz w:val="22"/>
          <w:szCs w:val="22"/>
        </w:rPr>
        <w:t>ull review for reappointment and promotion to professor (if the colleague chooses to seek promotion) in fall of year nine by unit, unit leader, dean, and provost. If a colleague seeks reappointment as an associate,</w:t>
      </w:r>
      <w:r w:rsidR="00C125D5" w:rsidRPr="000D595E">
        <w:rPr>
          <w:rFonts w:ascii="Garamond" w:hAnsi="Garamond" w:cs="Segoe UI"/>
          <w:sz w:val="22"/>
          <w:szCs w:val="22"/>
        </w:rPr>
        <w:t xml:space="preserve"> file submitted </w:t>
      </w:r>
      <w:r w:rsidR="005479E4" w:rsidRPr="000D595E">
        <w:rPr>
          <w:rFonts w:ascii="Garamond" w:hAnsi="Garamond" w:cs="Segoe UI"/>
          <w:sz w:val="22"/>
          <w:szCs w:val="22"/>
        </w:rPr>
        <w:t xml:space="preserve">for full review </w:t>
      </w:r>
      <w:r w:rsidR="00C54882" w:rsidRPr="000D595E">
        <w:rPr>
          <w:rFonts w:ascii="Garamond" w:hAnsi="Garamond" w:cs="Segoe UI"/>
          <w:sz w:val="22"/>
          <w:szCs w:val="22"/>
        </w:rPr>
        <w:t xml:space="preserve">to seek </w:t>
      </w:r>
      <w:r w:rsidR="00C125D5" w:rsidRPr="000D595E">
        <w:rPr>
          <w:rFonts w:ascii="Garamond" w:hAnsi="Garamond" w:cs="Segoe UI"/>
          <w:sz w:val="22"/>
          <w:szCs w:val="22"/>
        </w:rPr>
        <w:t xml:space="preserve">reappointment </w:t>
      </w:r>
      <w:r w:rsidR="00C54882" w:rsidRPr="000D595E">
        <w:rPr>
          <w:rFonts w:ascii="Garamond" w:hAnsi="Garamond" w:cs="Segoe UI"/>
          <w:sz w:val="22"/>
          <w:szCs w:val="22"/>
        </w:rPr>
        <w:t>to another 3-year contract.</w:t>
      </w:r>
      <w:r w:rsidRPr="000D595E">
        <w:rPr>
          <w:rFonts w:ascii="Garamond" w:hAnsi="Garamond" w:cs="Segoe UI"/>
          <w:sz w:val="22"/>
          <w:szCs w:val="22"/>
        </w:rPr>
        <w:t> </w:t>
      </w:r>
    </w:p>
    <w:p w14:paraId="0F441E30" w14:textId="53643561" w:rsidR="00D525EF" w:rsidRPr="000D595E" w:rsidRDefault="00A94ED0" w:rsidP="00C85033">
      <w:pPr>
        <w:pStyle w:val="xmsonormal"/>
        <w:shd w:val="clear" w:color="auto" w:fill="FFFFFF"/>
        <w:spacing w:before="0" w:beforeAutospacing="0" w:after="160" w:afterAutospacing="0"/>
        <w:textAlignment w:val="baseline"/>
        <w:rPr>
          <w:rFonts w:ascii="Garamond" w:hAnsi="Garamond" w:cs="Segoe UI"/>
          <w:sz w:val="22"/>
          <w:szCs w:val="22"/>
        </w:rPr>
      </w:pPr>
      <w:r w:rsidRPr="000D595E">
        <w:rPr>
          <w:rFonts w:ascii="Garamond" w:hAnsi="Garamond" w:cs="Segoe UI"/>
          <w:b/>
          <w:bCs/>
          <w:sz w:val="22"/>
          <w:szCs w:val="22"/>
        </w:rPr>
        <w:t xml:space="preserve">Subsequent Years: </w:t>
      </w:r>
      <w:r w:rsidRPr="000D595E">
        <w:rPr>
          <w:rFonts w:ascii="Garamond" w:hAnsi="Garamond" w:cs="Segoe UI"/>
          <w:sz w:val="22"/>
          <w:szCs w:val="22"/>
        </w:rPr>
        <w:t>During the term of each contract the Director/Chair provides annual written feedback</w:t>
      </w:r>
      <w:r w:rsidR="00256730" w:rsidRPr="000D595E">
        <w:rPr>
          <w:rFonts w:ascii="Garamond" w:hAnsi="Garamond" w:cs="Segoe UI"/>
          <w:sz w:val="22"/>
          <w:szCs w:val="22"/>
        </w:rPr>
        <w:t>. I</w:t>
      </w:r>
      <w:r w:rsidRPr="000D595E">
        <w:rPr>
          <w:rFonts w:ascii="Garamond" w:hAnsi="Garamond" w:cs="Segoe UI"/>
          <w:sz w:val="22"/>
          <w:szCs w:val="22"/>
        </w:rPr>
        <w:t>n fall of the final year of a three-year</w:t>
      </w:r>
      <w:r w:rsidR="00AF48A4" w:rsidRPr="000D595E">
        <w:rPr>
          <w:rFonts w:ascii="Garamond" w:hAnsi="Garamond" w:cs="Segoe UI"/>
          <w:sz w:val="22"/>
          <w:szCs w:val="22"/>
        </w:rPr>
        <w:t xml:space="preserve"> or five-year</w:t>
      </w:r>
      <w:r w:rsidRPr="000D595E">
        <w:rPr>
          <w:rFonts w:ascii="Garamond" w:hAnsi="Garamond" w:cs="Segoe UI"/>
          <w:sz w:val="22"/>
          <w:szCs w:val="22"/>
        </w:rPr>
        <w:t xml:space="preserve"> contract where a promotion to professor</w:t>
      </w:r>
      <w:r w:rsidR="00C013DD" w:rsidRPr="000D595E">
        <w:rPr>
          <w:rFonts w:ascii="Garamond" w:hAnsi="Garamond" w:cs="Segoe UI"/>
          <w:sz w:val="22"/>
          <w:szCs w:val="22"/>
        </w:rPr>
        <w:t xml:space="preserve"> (5-year contract)</w:t>
      </w:r>
      <w:r w:rsidR="00256730" w:rsidRPr="000D595E">
        <w:rPr>
          <w:rFonts w:ascii="Garamond" w:hAnsi="Garamond" w:cs="Segoe UI"/>
          <w:sz w:val="22"/>
          <w:szCs w:val="22"/>
        </w:rPr>
        <w:t xml:space="preserve"> or reappointment as associate</w:t>
      </w:r>
      <w:r w:rsidR="00073547" w:rsidRPr="000D595E">
        <w:rPr>
          <w:rFonts w:ascii="Garamond" w:hAnsi="Garamond" w:cs="Segoe UI"/>
          <w:sz w:val="22"/>
          <w:szCs w:val="22"/>
        </w:rPr>
        <w:t xml:space="preserve"> (another 3-year contract)</w:t>
      </w:r>
      <w:r w:rsidR="00AF48A4" w:rsidRPr="000D595E">
        <w:rPr>
          <w:rFonts w:ascii="Garamond" w:hAnsi="Garamond" w:cs="Segoe UI"/>
          <w:sz w:val="22"/>
          <w:szCs w:val="22"/>
        </w:rPr>
        <w:t xml:space="preserve"> </w:t>
      </w:r>
      <w:r w:rsidRPr="000D595E">
        <w:rPr>
          <w:rFonts w:ascii="Garamond" w:hAnsi="Garamond" w:cs="Segoe UI"/>
          <w:sz w:val="22"/>
          <w:szCs w:val="22"/>
        </w:rPr>
        <w:t>is sought a file is submitted and reviewed by unit, unit leader, dean, and provost.</w:t>
      </w:r>
      <w:r w:rsidR="00C013DD" w:rsidRPr="000D595E">
        <w:rPr>
          <w:rFonts w:ascii="Garamond" w:hAnsi="Garamond" w:cs="Segoe UI"/>
          <w:sz w:val="22"/>
          <w:szCs w:val="22"/>
        </w:rPr>
        <w:t xml:space="preserve"> </w:t>
      </w:r>
      <w:r w:rsidRPr="000D595E">
        <w:rPr>
          <w:rFonts w:ascii="Garamond" w:hAnsi="Garamond" w:cs="Segoe UI"/>
          <w:sz w:val="22"/>
          <w:szCs w:val="22"/>
        </w:rPr>
        <w:t>Reappointment is presumed at the end of each five-year contract for professors (no file submitted) unless there is a documented performance problem of change or university need. </w:t>
      </w:r>
    </w:p>
    <w:p w14:paraId="4F179D96" w14:textId="07F5E0B3" w:rsidR="00254D10" w:rsidRDefault="00D525EF" w:rsidP="00796048">
      <w:pPr>
        <w:spacing w:after="0"/>
        <w:rPr>
          <w:sz w:val="22"/>
        </w:rPr>
      </w:pPr>
      <w:r w:rsidRPr="000D595E">
        <w:rPr>
          <w:i/>
          <w:iCs/>
          <w:sz w:val="22"/>
        </w:rPr>
        <w:t>Criteria:</w:t>
      </w:r>
      <w:r w:rsidRPr="000D595E">
        <w:rPr>
          <w:sz w:val="22"/>
        </w:rPr>
        <w:t xml:space="preserve"> </w:t>
      </w:r>
      <w:r w:rsidR="003E5563" w:rsidRPr="000D595E">
        <w:rPr>
          <w:sz w:val="22"/>
        </w:rPr>
        <w:t>“</w:t>
      </w:r>
      <w:r w:rsidR="00411462" w:rsidRPr="000D595E">
        <w:rPr>
          <w:sz w:val="22"/>
        </w:rPr>
        <w:t>The duties specified in</w:t>
      </w:r>
      <w:r w:rsidR="008260E1" w:rsidRPr="000D595E">
        <w:rPr>
          <w:sz w:val="22"/>
        </w:rPr>
        <w:t xml:space="preserve"> the</w:t>
      </w:r>
      <w:r w:rsidR="00411462" w:rsidRPr="000D595E">
        <w:rPr>
          <w:sz w:val="22"/>
        </w:rPr>
        <w:t xml:space="preserve"> current </w:t>
      </w:r>
      <w:r w:rsidR="008260E1" w:rsidRPr="000D595E">
        <w:rPr>
          <w:sz w:val="22"/>
        </w:rPr>
        <w:t>letter of appointment form the basis for evaluation of NTT faculty</w:t>
      </w:r>
      <w:r w:rsidR="006D6375" w:rsidRPr="000D595E">
        <w:rPr>
          <w:sz w:val="22"/>
        </w:rPr>
        <w:t>.</w:t>
      </w:r>
      <w:r w:rsidR="001E1292" w:rsidRPr="000D595E">
        <w:rPr>
          <w:sz w:val="22"/>
        </w:rPr>
        <w:t>”</w:t>
      </w:r>
      <w:r w:rsidR="000C4704" w:rsidRPr="000D595E">
        <w:rPr>
          <w:sz w:val="22"/>
        </w:rPr>
        <w:t xml:space="preserve"> </w:t>
      </w:r>
      <w:r w:rsidR="00001B94" w:rsidRPr="000D595E">
        <w:rPr>
          <w:sz w:val="22"/>
        </w:rPr>
        <w:t>(Article 29 Section 5</w:t>
      </w:r>
      <w:r w:rsidR="00E24D12" w:rsidRPr="000D595E">
        <w:rPr>
          <w:sz w:val="22"/>
        </w:rPr>
        <w:t>E</w:t>
      </w:r>
      <w:r w:rsidR="00411462" w:rsidRPr="000D595E">
        <w:rPr>
          <w:sz w:val="22"/>
        </w:rPr>
        <w:t>-F</w:t>
      </w:r>
      <w:r w:rsidR="006D6375" w:rsidRPr="000D595E">
        <w:rPr>
          <w:sz w:val="22"/>
        </w:rPr>
        <w:t>, page 126</w:t>
      </w:r>
      <w:r w:rsidR="00001B94" w:rsidRPr="000D595E">
        <w:rPr>
          <w:sz w:val="22"/>
        </w:rPr>
        <w:t>)</w:t>
      </w:r>
      <w:r w:rsidR="000E44FC" w:rsidRPr="000D595E">
        <w:rPr>
          <w:sz w:val="22"/>
        </w:rPr>
        <w:t xml:space="preserve"> </w:t>
      </w:r>
      <w:r w:rsidR="00933725" w:rsidRPr="000D595E">
        <w:rPr>
          <w:sz w:val="22"/>
        </w:rPr>
        <w:t xml:space="preserve">NTT letters </w:t>
      </w:r>
      <w:r w:rsidR="00515C79" w:rsidRPr="000D595E">
        <w:rPr>
          <w:sz w:val="22"/>
        </w:rPr>
        <w:t xml:space="preserve">can include teaching, research, and/or service. “It is </w:t>
      </w:r>
      <w:r w:rsidR="00515C79" w:rsidRPr="000D595E">
        <w:rPr>
          <w:sz w:val="22"/>
        </w:rPr>
        <w:lastRenderedPageBreak/>
        <w:t xml:space="preserve">expected that the bulk of their duties </w:t>
      </w:r>
      <w:r w:rsidR="00796048" w:rsidRPr="000D595E">
        <w:rPr>
          <w:sz w:val="22"/>
        </w:rPr>
        <w:t>will be sharing expertise with and/or teaching students.”</w:t>
      </w:r>
      <w:r w:rsidR="00515C79" w:rsidRPr="000D595E">
        <w:rPr>
          <w:sz w:val="22"/>
        </w:rPr>
        <w:t xml:space="preserve"> </w:t>
      </w:r>
      <w:r w:rsidR="006A0B7B" w:rsidRPr="000D595E">
        <w:rPr>
          <w:sz w:val="22"/>
        </w:rPr>
        <w:t>(Article 29 Section 4</w:t>
      </w:r>
      <w:r w:rsidR="00933725" w:rsidRPr="000D595E">
        <w:rPr>
          <w:sz w:val="22"/>
        </w:rPr>
        <w:t>A)</w:t>
      </w:r>
      <w:r w:rsidR="00F6475A">
        <w:rPr>
          <w:sz w:val="22"/>
        </w:rPr>
        <w:t>.</w:t>
      </w:r>
    </w:p>
    <w:p w14:paraId="3AFBA14C" w14:textId="77777777" w:rsidR="00F6475A" w:rsidRDefault="00F6475A" w:rsidP="00796048">
      <w:pPr>
        <w:spacing w:after="0"/>
        <w:rPr>
          <w:sz w:val="22"/>
        </w:rPr>
      </w:pPr>
    </w:p>
    <w:p w14:paraId="68A80289" w14:textId="4C4FF0DC" w:rsidR="00F6475A" w:rsidRDefault="00F6475A" w:rsidP="00F6475A">
      <w:pPr>
        <w:spacing w:after="0"/>
        <w:jc w:val="center"/>
        <w:rPr>
          <w:sz w:val="22"/>
          <w:u w:val="single"/>
        </w:rPr>
      </w:pPr>
      <w:r>
        <w:rPr>
          <w:sz w:val="22"/>
        </w:rPr>
        <w:t>Distinguished Professor Review</w:t>
      </w:r>
    </w:p>
    <w:p w14:paraId="26CC264C" w14:textId="77777777" w:rsidR="00F6475A" w:rsidRDefault="00F6475A" w:rsidP="00F6475A">
      <w:pPr>
        <w:spacing w:after="0"/>
        <w:rPr>
          <w:sz w:val="22"/>
          <w:u w:val="single"/>
        </w:rPr>
      </w:pPr>
    </w:p>
    <w:p w14:paraId="48561078" w14:textId="199A4381" w:rsidR="00F6475A" w:rsidRDefault="00F6475A" w:rsidP="00F6475A">
      <w:pPr>
        <w:spacing w:after="0"/>
        <w:rPr>
          <w:sz w:val="22"/>
          <w:u w:val="single"/>
        </w:rPr>
      </w:pPr>
      <w:r>
        <w:rPr>
          <w:sz w:val="22"/>
          <w:u w:val="single"/>
        </w:rPr>
        <w:t xml:space="preserve">Applicants for Distinguished Professor follow similar, but not identical timelines for RTP and NTT review, although Distinguished Professor is not an academic rank (see Article 22 in CBA for review). For </w:t>
      </w:r>
      <w:r w:rsidR="00E97A9B">
        <w:rPr>
          <w:sz w:val="22"/>
          <w:u w:val="single"/>
        </w:rPr>
        <w:t>review</w:t>
      </w:r>
      <w:r>
        <w:rPr>
          <w:sz w:val="22"/>
          <w:u w:val="single"/>
        </w:rPr>
        <w:t xml:space="preserve"> </w:t>
      </w:r>
      <w:r w:rsidR="00E97A9B">
        <w:rPr>
          <w:sz w:val="22"/>
          <w:u w:val="single"/>
        </w:rPr>
        <w:t>starting</w:t>
      </w:r>
      <w:r>
        <w:rPr>
          <w:sz w:val="22"/>
          <w:u w:val="single"/>
        </w:rPr>
        <w:t xml:space="preserve"> Fall 2025, the following deadlines apply</w:t>
      </w:r>
      <w:r w:rsidR="00E97A9B">
        <w:rPr>
          <w:sz w:val="22"/>
          <w:u w:val="single"/>
        </w:rPr>
        <w:t xml:space="preserve"> (note- candidates apply in Spring and are reviewed over the following academic year, such that dates overlap for different cohorts of candidates):</w:t>
      </w:r>
    </w:p>
    <w:p w14:paraId="0EA87CAD" w14:textId="77777777" w:rsidR="00F6475A" w:rsidRDefault="00F6475A" w:rsidP="00F6475A">
      <w:pPr>
        <w:spacing w:after="0"/>
        <w:rPr>
          <w:sz w:val="22"/>
          <w:u w:val="single"/>
        </w:rPr>
      </w:pPr>
    </w:p>
    <w:p w14:paraId="4A49AEC0" w14:textId="76F9C10F" w:rsidR="00F6475A" w:rsidRDefault="00F6475A" w:rsidP="00F6475A">
      <w:pPr>
        <w:pStyle w:val="ListParagraph"/>
        <w:numPr>
          <w:ilvl w:val="0"/>
          <w:numId w:val="6"/>
        </w:numPr>
        <w:spacing w:after="0"/>
        <w:rPr>
          <w:sz w:val="22"/>
          <w:u w:val="single"/>
        </w:rPr>
      </w:pPr>
      <w:r w:rsidRPr="006754D9">
        <w:rPr>
          <w:b/>
          <w:bCs/>
          <w:sz w:val="22"/>
          <w:u w:val="single"/>
        </w:rPr>
        <w:t>October 3, 2025</w:t>
      </w:r>
      <w:r>
        <w:rPr>
          <w:sz w:val="22"/>
          <w:u w:val="single"/>
        </w:rPr>
        <w:t>- Departmental Distinguished Professor Review Committee submits letter of recommendation to unit Chair/Director</w:t>
      </w:r>
    </w:p>
    <w:p w14:paraId="4A9995FA" w14:textId="1B21DE56" w:rsidR="00F6475A" w:rsidRPr="006754D9" w:rsidRDefault="00F6475A" w:rsidP="00F6475A">
      <w:pPr>
        <w:pStyle w:val="ListParagraph"/>
        <w:numPr>
          <w:ilvl w:val="0"/>
          <w:numId w:val="6"/>
        </w:numPr>
        <w:spacing w:after="0"/>
        <w:rPr>
          <w:b/>
          <w:bCs/>
          <w:sz w:val="22"/>
          <w:u w:val="single"/>
        </w:rPr>
      </w:pPr>
      <w:r w:rsidRPr="006754D9">
        <w:rPr>
          <w:b/>
          <w:bCs/>
          <w:sz w:val="22"/>
          <w:u w:val="single"/>
        </w:rPr>
        <w:t>October 17, 2025</w:t>
      </w:r>
      <w:r>
        <w:rPr>
          <w:b/>
          <w:bCs/>
          <w:sz w:val="22"/>
          <w:u w:val="single"/>
        </w:rPr>
        <w:t xml:space="preserve">- </w:t>
      </w:r>
      <w:r>
        <w:rPr>
          <w:sz w:val="22"/>
          <w:u w:val="single"/>
        </w:rPr>
        <w:t xml:space="preserve">Candidate's file with Departmental and Chair's </w:t>
      </w:r>
      <w:r w:rsidR="00DC17BA">
        <w:rPr>
          <w:sz w:val="22"/>
          <w:u w:val="single"/>
        </w:rPr>
        <w:t xml:space="preserve">recommendation </w:t>
      </w:r>
      <w:r>
        <w:rPr>
          <w:sz w:val="22"/>
          <w:u w:val="single"/>
        </w:rPr>
        <w:t>letter</w:t>
      </w:r>
      <w:r w:rsidR="00DC17BA">
        <w:rPr>
          <w:sz w:val="22"/>
          <w:u w:val="single"/>
        </w:rPr>
        <w:t>s</w:t>
      </w:r>
      <w:r>
        <w:rPr>
          <w:sz w:val="22"/>
          <w:u w:val="single"/>
        </w:rPr>
        <w:t xml:space="preserve"> submitted to Dean's office</w:t>
      </w:r>
    </w:p>
    <w:p w14:paraId="39FBF16E" w14:textId="7EBAC547" w:rsidR="00DC17BA" w:rsidRPr="006754D9" w:rsidRDefault="00DC17BA" w:rsidP="00F6475A">
      <w:pPr>
        <w:pStyle w:val="ListParagraph"/>
        <w:numPr>
          <w:ilvl w:val="0"/>
          <w:numId w:val="6"/>
        </w:numPr>
        <w:spacing w:after="0"/>
        <w:rPr>
          <w:b/>
          <w:bCs/>
          <w:sz w:val="22"/>
          <w:u w:val="single"/>
        </w:rPr>
      </w:pPr>
      <w:r w:rsidRPr="006754D9">
        <w:rPr>
          <w:b/>
          <w:bCs/>
          <w:sz w:val="22"/>
          <w:u w:val="single"/>
        </w:rPr>
        <w:t>October 24, 2025</w:t>
      </w:r>
      <w:r>
        <w:rPr>
          <w:sz w:val="22"/>
          <w:u w:val="single"/>
        </w:rPr>
        <w:t>- College Distinguished Professor Review Committee is convened</w:t>
      </w:r>
    </w:p>
    <w:p w14:paraId="6E151208" w14:textId="14F71D0B" w:rsidR="00DC17BA" w:rsidRPr="006754D9" w:rsidRDefault="00DC17BA" w:rsidP="00F6475A">
      <w:pPr>
        <w:pStyle w:val="ListParagraph"/>
        <w:numPr>
          <w:ilvl w:val="0"/>
          <w:numId w:val="6"/>
        </w:numPr>
        <w:spacing w:after="0"/>
        <w:rPr>
          <w:b/>
          <w:bCs/>
          <w:sz w:val="22"/>
          <w:u w:val="single"/>
        </w:rPr>
      </w:pPr>
      <w:r w:rsidRPr="006754D9">
        <w:rPr>
          <w:b/>
          <w:bCs/>
          <w:sz w:val="22"/>
          <w:u w:val="single"/>
        </w:rPr>
        <w:t>November 14, 2025</w:t>
      </w:r>
      <w:r>
        <w:rPr>
          <w:sz w:val="22"/>
          <w:u w:val="single"/>
        </w:rPr>
        <w:t>- College Distinguished Professor Review Committee's letter due to Dean</w:t>
      </w:r>
    </w:p>
    <w:p w14:paraId="42D833C8" w14:textId="218CBFDB" w:rsidR="00DC17BA" w:rsidRPr="006754D9" w:rsidRDefault="00DC17BA" w:rsidP="00F6475A">
      <w:pPr>
        <w:pStyle w:val="ListParagraph"/>
        <w:numPr>
          <w:ilvl w:val="0"/>
          <w:numId w:val="6"/>
        </w:numPr>
        <w:spacing w:after="0"/>
        <w:rPr>
          <w:b/>
          <w:bCs/>
          <w:sz w:val="22"/>
          <w:u w:val="single"/>
        </w:rPr>
      </w:pPr>
      <w:r>
        <w:rPr>
          <w:sz w:val="22"/>
          <w:u w:val="single"/>
        </w:rPr>
        <w:t xml:space="preserve">Before </w:t>
      </w:r>
      <w:r>
        <w:rPr>
          <w:b/>
          <w:bCs/>
          <w:sz w:val="22"/>
          <w:u w:val="single"/>
        </w:rPr>
        <w:t>January 30, 2026</w:t>
      </w:r>
      <w:r>
        <w:rPr>
          <w:sz w:val="22"/>
          <w:u w:val="single"/>
        </w:rPr>
        <w:t>- University Distinguished Professor Review Committee convened</w:t>
      </w:r>
    </w:p>
    <w:p w14:paraId="5E5E4AA9" w14:textId="29C574C6" w:rsidR="00DC17BA" w:rsidRPr="006754D9" w:rsidRDefault="00DC17BA" w:rsidP="00F6475A">
      <w:pPr>
        <w:pStyle w:val="ListParagraph"/>
        <w:numPr>
          <w:ilvl w:val="0"/>
          <w:numId w:val="6"/>
        </w:numPr>
        <w:spacing w:after="0"/>
        <w:rPr>
          <w:b/>
          <w:bCs/>
          <w:sz w:val="22"/>
          <w:u w:val="single"/>
        </w:rPr>
      </w:pPr>
      <w:r w:rsidRPr="006754D9">
        <w:rPr>
          <w:b/>
          <w:bCs/>
          <w:sz w:val="22"/>
          <w:u w:val="single"/>
        </w:rPr>
        <w:t>March 30, 2026</w:t>
      </w:r>
      <w:r>
        <w:rPr>
          <w:sz w:val="22"/>
          <w:u w:val="single"/>
        </w:rPr>
        <w:t xml:space="preserve">- </w:t>
      </w:r>
      <w:r w:rsidR="00E97A9B">
        <w:rPr>
          <w:sz w:val="22"/>
          <w:u w:val="single"/>
        </w:rPr>
        <w:t>2026 candidates for Distinguished Professor submit applications to Chairs/Directors</w:t>
      </w:r>
    </w:p>
    <w:p w14:paraId="546C73CB" w14:textId="537F0BDA" w:rsidR="00DC17BA" w:rsidRPr="006754D9" w:rsidRDefault="00DC17BA" w:rsidP="00F6475A">
      <w:pPr>
        <w:pStyle w:val="ListParagraph"/>
        <w:numPr>
          <w:ilvl w:val="0"/>
          <w:numId w:val="6"/>
        </w:numPr>
        <w:spacing w:after="0"/>
        <w:rPr>
          <w:b/>
          <w:bCs/>
          <w:sz w:val="22"/>
          <w:u w:val="single"/>
        </w:rPr>
      </w:pPr>
      <w:r w:rsidRPr="006754D9">
        <w:rPr>
          <w:b/>
          <w:bCs/>
          <w:sz w:val="22"/>
          <w:u w:val="single"/>
        </w:rPr>
        <w:t>April 1, 2026</w:t>
      </w:r>
      <w:r>
        <w:rPr>
          <w:sz w:val="22"/>
          <w:u w:val="single"/>
        </w:rPr>
        <w:t>- University Distinguished Professor Review Committee's letter due to Provost (2025 candidates)</w:t>
      </w:r>
    </w:p>
    <w:p w14:paraId="32719280" w14:textId="03A8E385" w:rsidR="00E97A9B" w:rsidRPr="006754D9" w:rsidRDefault="00E97A9B" w:rsidP="00F6475A">
      <w:pPr>
        <w:pStyle w:val="ListParagraph"/>
        <w:numPr>
          <w:ilvl w:val="0"/>
          <w:numId w:val="6"/>
        </w:numPr>
        <w:spacing w:after="0"/>
        <w:rPr>
          <w:b/>
          <w:bCs/>
          <w:sz w:val="22"/>
          <w:u w:val="single"/>
        </w:rPr>
      </w:pPr>
      <w:r>
        <w:rPr>
          <w:sz w:val="22"/>
          <w:u w:val="single"/>
        </w:rPr>
        <w:t xml:space="preserve">Before </w:t>
      </w:r>
      <w:r w:rsidRPr="006754D9">
        <w:rPr>
          <w:b/>
          <w:bCs/>
          <w:sz w:val="22"/>
          <w:u w:val="single"/>
        </w:rPr>
        <w:t>April 13, 2026</w:t>
      </w:r>
      <w:r>
        <w:rPr>
          <w:sz w:val="22"/>
          <w:u w:val="single"/>
        </w:rPr>
        <w:t xml:space="preserve">- Chair/Director convenes Departmental Distinguished Professor Review Committee (2026 candidates) </w:t>
      </w:r>
    </w:p>
    <w:p w14:paraId="5F78AEDD" w14:textId="005C964F" w:rsidR="00DC17BA" w:rsidRPr="006754D9" w:rsidRDefault="00E97A9B" w:rsidP="006754D9">
      <w:pPr>
        <w:pStyle w:val="ListParagraph"/>
        <w:numPr>
          <w:ilvl w:val="0"/>
          <w:numId w:val="6"/>
        </w:numPr>
        <w:spacing w:after="0"/>
        <w:rPr>
          <w:b/>
          <w:bCs/>
          <w:sz w:val="22"/>
          <w:u w:val="single"/>
        </w:rPr>
      </w:pPr>
      <w:r>
        <w:rPr>
          <w:b/>
          <w:bCs/>
          <w:sz w:val="22"/>
          <w:u w:val="single"/>
        </w:rPr>
        <w:t>May 12, 2026</w:t>
      </w:r>
      <w:r>
        <w:rPr>
          <w:sz w:val="22"/>
          <w:u w:val="single"/>
        </w:rPr>
        <w:t>- external reviewer list finalized after input from candidate, review committee, Chair/Director, and Dean's office (2026 candidates)</w:t>
      </w:r>
    </w:p>
    <w:p w14:paraId="3C8713C5" w14:textId="4A9DF37B" w:rsidR="00F6475A" w:rsidRPr="006754D9" w:rsidRDefault="00F6475A" w:rsidP="00F6475A">
      <w:pPr>
        <w:spacing w:after="0"/>
        <w:rPr>
          <w:sz w:val="22"/>
          <w:u w:val="single"/>
        </w:rPr>
      </w:pPr>
      <w:r>
        <w:rPr>
          <w:sz w:val="22"/>
          <w:u w:val="single"/>
        </w:rPr>
        <w:t xml:space="preserve"> </w:t>
      </w:r>
    </w:p>
    <w:p w14:paraId="14A45AC1" w14:textId="77777777" w:rsidR="00EE586F" w:rsidRPr="000D595E" w:rsidRDefault="00EE586F" w:rsidP="00796048">
      <w:pPr>
        <w:spacing w:after="0"/>
        <w:rPr>
          <w:sz w:val="22"/>
        </w:rPr>
      </w:pPr>
    </w:p>
    <w:p w14:paraId="0177B459" w14:textId="1D0111A7" w:rsidR="00D023B3" w:rsidRPr="000D595E" w:rsidRDefault="00D023B3" w:rsidP="003F1455">
      <w:pPr>
        <w:jc w:val="center"/>
        <w:rPr>
          <w:b/>
          <w:bCs/>
          <w:sz w:val="22"/>
        </w:rPr>
      </w:pPr>
      <w:r w:rsidRPr="000D595E">
        <w:rPr>
          <w:b/>
          <w:bCs/>
          <w:sz w:val="22"/>
        </w:rPr>
        <w:t>Institute for Teaching &amp; Learning (ITL)</w:t>
      </w:r>
    </w:p>
    <w:p w14:paraId="684E5F0B" w14:textId="70F1B0AE" w:rsidR="00D023B3" w:rsidRPr="000D595E" w:rsidRDefault="00D023B3" w:rsidP="00D023B3">
      <w:pPr>
        <w:rPr>
          <w:sz w:val="22"/>
        </w:rPr>
      </w:pPr>
      <w:r w:rsidRPr="000D595E">
        <w:rPr>
          <w:sz w:val="22"/>
        </w:rPr>
        <w:t>For information</w:t>
      </w:r>
      <w:r w:rsidR="002C6E01" w:rsidRPr="000D595E">
        <w:rPr>
          <w:sz w:val="22"/>
        </w:rPr>
        <w:t xml:space="preserve"> </w:t>
      </w:r>
      <w:r w:rsidR="001D4949" w:rsidRPr="000D595E">
        <w:rPr>
          <w:sz w:val="22"/>
        </w:rPr>
        <w:t>and</w:t>
      </w:r>
      <w:r w:rsidR="00075D37" w:rsidRPr="000D595E">
        <w:rPr>
          <w:sz w:val="22"/>
        </w:rPr>
        <w:t xml:space="preserve"> expectations </w:t>
      </w:r>
      <w:r w:rsidR="001D4949" w:rsidRPr="000D595E">
        <w:rPr>
          <w:sz w:val="22"/>
        </w:rPr>
        <w:t xml:space="preserve">on </w:t>
      </w:r>
      <w:r w:rsidR="00075D37" w:rsidRPr="000D595E">
        <w:rPr>
          <w:sz w:val="22"/>
        </w:rPr>
        <w:t>how to digitize</w:t>
      </w:r>
      <w:r w:rsidR="002C6E01" w:rsidRPr="000D595E">
        <w:rPr>
          <w:sz w:val="22"/>
        </w:rPr>
        <w:t xml:space="preserve"> RTP/NTT </w:t>
      </w:r>
      <w:r w:rsidR="00075D37" w:rsidRPr="000D595E">
        <w:rPr>
          <w:sz w:val="22"/>
        </w:rPr>
        <w:t xml:space="preserve">files </w:t>
      </w:r>
      <w:r w:rsidRPr="000D595E">
        <w:rPr>
          <w:sz w:val="22"/>
        </w:rPr>
        <w:t>go to our ITL page:</w:t>
      </w:r>
    </w:p>
    <w:p w14:paraId="21A1295A" w14:textId="77777777" w:rsidR="00D023B3" w:rsidRPr="000D595E" w:rsidRDefault="00D023B3" w:rsidP="00D023B3">
      <w:pPr>
        <w:rPr>
          <w:sz w:val="22"/>
        </w:rPr>
      </w:pPr>
      <w:hyperlink r:id="rId8" w:history="1">
        <w:r w:rsidRPr="000D595E">
          <w:rPr>
            <w:rStyle w:val="Hyperlink"/>
            <w:sz w:val="22"/>
          </w:rPr>
          <w:t>https://www.uakron.edu/itl/</w:t>
        </w:r>
      </w:hyperlink>
      <w:r w:rsidRPr="000D595E">
        <w:rPr>
          <w:sz w:val="22"/>
        </w:rPr>
        <w:t xml:space="preserve"> </w:t>
      </w:r>
    </w:p>
    <w:p w14:paraId="531A2CE9" w14:textId="5DB85965" w:rsidR="00D023B3" w:rsidRPr="000D595E" w:rsidRDefault="00D023B3" w:rsidP="00D023B3">
      <w:pPr>
        <w:rPr>
          <w:sz w:val="22"/>
        </w:rPr>
      </w:pPr>
      <w:r w:rsidRPr="000D595E">
        <w:rPr>
          <w:sz w:val="22"/>
        </w:rPr>
        <w:t>And click on “The Digital RTP and NTT Evaluation” as shown in the image pasted below.</w:t>
      </w:r>
    </w:p>
    <w:p w14:paraId="2E39CB46" w14:textId="105F742F" w:rsidR="00D023B3" w:rsidRPr="000D595E" w:rsidRDefault="00D023B3" w:rsidP="00D023B3">
      <w:pPr>
        <w:rPr>
          <w:sz w:val="22"/>
        </w:rPr>
      </w:pPr>
      <w:r w:rsidRPr="000D595E">
        <w:rPr>
          <w:noProof/>
          <w:sz w:val="22"/>
          <w:lang w:eastAsia="zh-CN"/>
        </w:rPr>
        <w:drawing>
          <wp:inline distT="0" distB="0" distL="0" distR="0" wp14:anchorId="7A381418" wp14:editId="14BE9C48">
            <wp:extent cx="5518237" cy="9144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68983" cy="922809"/>
                    </a:xfrm>
                    <a:prstGeom prst="rect">
                      <a:avLst/>
                    </a:prstGeom>
                  </pic:spPr>
                </pic:pic>
              </a:graphicData>
            </a:graphic>
          </wp:inline>
        </w:drawing>
      </w:r>
    </w:p>
    <w:p w14:paraId="045CA989" w14:textId="5F169711" w:rsidR="00254D10" w:rsidRPr="000D595E" w:rsidRDefault="000D595E" w:rsidP="00D023B3">
      <w:pPr>
        <w:rPr>
          <w:sz w:val="22"/>
        </w:rPr>
      </w:pPr>
      <w:r>
        <w:rPr>
          <w:color w:val="FF0000"/>
          <w:sz w:val="22"/>
        </w:rPr>
        <w:br/>
      </w:r>
      <w:r w:rsidR="003211AB" w:rsidRPr="000F58AD">
        <w:rPr>
          <w:sz w:val="22"/>
        </w:rPr>
        <w:t xml:space="preserve">NOTE: </w:t>
      </w:r>
      <w:r w:rsidR="003211AB" w:rsidRPr="000D595E">
        <w:rPr>
          <w:i/>
          <w:iCs/>
          <w:sz w:val="22"/>
        </w:rPr>
        <w:t>Please remind your faculty</w:t>
      </w:r>
      <w:r w:rsidR="003211AB" w:rsidRPr="000D595E">
        <w:rPr>
          <w:sz w:val="22"/>
        </w:rPr>
        <w:t xml:space="preserve"> that when the CBA says we are required to include our </w:t>
      </w:r>
      <w:r w:rsidR="003211AB" w:rsidRPr="000D595E">
        <w:rPr>
          <w:i/>
          <w:iCs/>
          <w:sz w:val="22"/>
        </w:rPr>
        <w:t>‘initial letter of appointment’</w:t>
      </w:r>
      <w:r w:rsidR="003211AB" w:rsidRPr="000D595E">
        <w:rPr>
          <w:sz w:val="22"/>
        </w:rPr>
        <w:t xml:space="preserve"> in our </w:t>
      </w:r>
      <w:r w:rsidR="00813D11" w:rsidRPr="000D595E">
        <w:rPr>
          <w:sz w:val="22"/>
        </w:rPr>
        <w:t xml:space="preserve">file, </w:t>
      </w:r>
      <w:r w:rsidR="000639D1" w:rsidRPr="000D595E">
        <w:rPr>
          <w:sz w:val="22"/>
        </w:rPr>
        <w:t xml:space="preserve">it </w:t>
      </w:r>
      <w:r w:rsidR="00813D11" w:rsidRPr="000D595E">
        <w:rPr>
          <w:sz w:val="22"/>
        </w:rPr>
        <w:t>means</w:t>
      </w:r>
      <w:r w:rsidR="004012FB" w:rsidRPr="000D595E">
        <w:rPr>
          <w:sz w:val="22"/>
        </w:rPr>
        <w:t xml:space="preserve"> our</w:t>
      </w:r>
      <w:r w:rsidR="00813D11" w:rsidRPr="000D595E">
        <w:rPr>
          <w:sz w:val="22"/>
        </w:rPr>
        <w:t xml:space="preserve"> </w:t>
      </w:r>
      <w:r w:rsidR="00813D11" w:rsidRPr="000D595E">
        <w:rPr>
          <w:b/>
          <w:bCs/>
          <w:sz w:val="22"/>
        </w:rPr>
        <w:t>initial offer letter</w:t>
      </w:r>
      <w:r w:rsidR="00813D11" w:rsidRPr="000D595E">
        <w:rPr>
          <w:sz w:val="22"/>
        </w:rPr>
        <w:t xml:space="preserve"> from the Dean, which includes salary, startup, and other expectations. It does </w:t>
      </w:r>
      <w:r w:rsidR="00813D11" w:rsidRPr="000D595E">
        <w:rPr>
          <w:sz w:val="22"/>
          <w:u w:val="single"/>
        </w:rPr>
        <w:t>NOT</w:t>
      </w:r>
      <w:r w:rsidR="00813D11" w:rsidRPr="000D595E">
        <w:rPr>
          <w:sz w:val="22"/>
        </w:rPr>
        <w:t xml:space="preserve"> mean the Certificate of Appointment issued by the board.</w:t>
      </w:r>
    </w:p>
    <w:p w14:paraId="04A6F333" w14:textId="77777777" w:rsidR="000D595E" w:rsidRDefault="000D595E" w:rsidP="00123649">
      <w:pPr>
        <w:spacing w:after="0" w:line="240" w:lineRule="auto"/>
        <w:jc w:val="center"/>
        <w:rPr>
          <w:b/>
          <w:bCs/>
          <w:sz w:val="22"/>
        </w:rPr>
      </w:pPr>
    </w:p>
    <w:p w14:paraId="4A79CA23" w14:textId="71B6960A" w:rsidR="00123649" w:rsidRPr="000D595E" w:rsidRDefault="00123649" w:rsidP="00123649">
      <w:pPr>
        <w:spacing w:after="0" w:line="240" w:lineRule="auto"/>
        <w:jc w:val="center"/>
        <w:rPr>
          <w:b/>
          <w:bCs/>
          <w:sz w:val="22"/>
        </w:rPr>
      </w:pPr>
      <w:r w:rsidRPr="000D595E">
        <w:rPr>
          <w:b/>
          <w:bCs/>
          <w:sz w:val="22"/>
        </w:rPr>
        <w:t>PDL (Article 18)</w:t>
      </w:r>
    </w:p>
    <w:p w14:paraId="3D4C8079" w14:textId="77777777" w:rsidR="00123649" w:rsidRPr="000D595E" w:rsidRDefault="00123649" w:rsidP="00123649">
      <w:pPr>
        <w:spacing w:after="0" w:line="240" w:lineRule="auto"/>
        <w:rPr>
          <w:b/>
          <w:bCs/>
          <w:sz w:val="22"/>
        </w:rPr>
      </w:pPr>
      <w:r w:rsidRPr="000D595E">
        <w:rPr>
          <w:sz w:val="22"/>
        </w:rPr>
        <w:t xml:space="preserve">The CBA requires PDL applications be submitted to unit director or chair before </w:t>
      </w:r>
      <w:r w:rsidRPr="000F58AD">
        <w:rPr>
          <w:b/>
          <w:bCs/>
          <w:sz w:val="22"/>
        </w:rPr>
        <w:t>October 1</w:t>
      </w:r>
      <w:r w:rsidRPr="000F58AD">
        <w:rPr>
          <w:sz w:val="22"/>
        </w:rPr>
        <w:t>.</w:t>
      </w:r>
    </w:p>
    <w:p w14:paraId="3AE9810B" w14:textId="551A23F8" w:rsidR="00123649" w:rsidRPr="000D595E" w:rsidRDefault="00123649" w:rsidP="00123649">
      <w:pPr>
        <w:rPr>
          <w:sz w:val="22"/>
        </w:rPr>
      </w:pPr>
      <w:r w:rsidRPr="000D595E">
        <w:rPr>
          <w:sz w:val="22"/>
        </w:rPr>
        <w:t xml:space="preserve">Unit director or chair recommendations are due to the dean’s office by </w:t>
      </w:r>
      <w:r w:rsidRPr="000D595E">
        <w:rPr>
          <w:b/>
          <w:bCs/>
          <w:sz w:val="22"/>
        </w:rPr>
        <w:t>October 8</w:t>
      </w:r>
      <w:r w:rsidRPr="000D595E">
        <w:rPr>
          <w:sz w:val="22"/>
        </w:rPr>
        <w:t>. The dean’s recommendations are due to the provost by November 8. The CBA says that the provost ‘shall approve or deny…by December 8, whenever possible.’</w:t>
      </w:r>
      <w:r w:rsidR="001A0E02">
        <w:rPr>
          <w:sz w:val="22"/>
        </w:rPr>
        <w:t xml:space="preserve">  </w:t>
      </w:r>
    </w:p>
    <w:p w14:paraId="33C6818C" w14:textId="4333625D" w:rsidR="00F811BF" w:rsidRPr="000D595E" w:rsidRDefault="00123649">
      <w:pPr>
        <w:rPr>
          <w:sz w:val="22"/>
        </w:rPr>
      </w:pPr>
      <w:r w:rsidRPr="000D595E">
        <w:rPr>
          <w:sz w:val="22"/>
        </w:rPr>
        <w:lastRenderedPageBreak/>
        <w:t xml:space="preserve">The PDL application form/cover page can be found here: </w:t>
      </w:r>
      <w:hyperlink r:id="rId10" w:history="1">
        <w:r w:rsidRPr="000D595E">
          <w:rPr>
            <w:rStyle w:val="Hyperlink"/>
            <w:sz w:val="22"/>
          </w:rPr>
          <w:t>https://www.uakron.edu/oaa/faculty-affairs/</w:t>
        </w:r>
      </w:hyperlink>
      <w:r w:rsidRPr="000D595E">
        <w:rPr>
          <w:sz w:val="22"/>
        </w:rPr>
        <w:t xml:space="preserve"> Click on Faculty Affairs and then on the Governance tab.</w:t>
      </w:r>
      <w:r w:rsidR="001A0E02">
        <w:rPr>
          <w:sz w:val="22"/>
        </w:rPr>
        <w:t xml:space="preserve">  Candidates are encouraged to review Article 18 sections 5-8 of the CBA when preparing their applications. </w:t>
      </w:r>
    </w:p>
    <w:p w14:paraId="47CE72D8" w14:textId="77777777" w:rsidR="00835003" w:rsidRPr="000D595E" w:rsidRDefault="00835003" w:rsidP="00835003">
      <w:pPr>
        <w:rPr>
          <w:sz w:val="22"/>
        </w:rPr>
      </w:pPr>
    </w:p>
    <w:p w14:paraId="299F0988" w14:textId="77777777" w:rsidR="00835003" w:rsidRPr="000D595E" w:rsidRDefault="00835003" w:rsidP="00835003">
      <w:pPr>
        <w:jc w:val="center"/>
        <w:rPr>
          <w:b/>
          <w:sz w:val="22"/>
        </w:rPr>
      </w:pPr>
      <w:r w:rsidRPr="000D595E">
        <w:rPr>
          <w:b/>
          <w:sz w:val="22"/>
        </w:rPr>
        <w:t xml:space="preserve">Spring Dates for RTP/NTT Evaluation </w:t>
      </w:r>
      <w:r w:rsidRPr="000D595E">
        <w:rPr>
          <w:b/>
          <w:sz w:val="22"/>
        </w:rPr>
        <w:br/>
      </w:r>
      <w:r w:rsidRPr="000D595E">
        <w:rPr>
          <w:bCs/>
          <w:sz w:val="22"/>
        </w:rPr>
        <w:t>(Article 13 Section 5A and Article 29 Section 5 C)</w:t>
      </w:r>
    </w:p>
    <w:p w14:paraId="553D7F1F" w14:textId="77777777" w:rsidR="00835003" w:rsidRPr="000D595E" w:rsidRDefault="00835003" w:rsidP="00835003">
      <w:pPr>
        <w:rPr>
          <w:bCs/>
          <w:sz w:val="22"/>
        </w:rPr>
      </w:pPr>
      <w:r w:rsidRPr="000D595E">
        <w:rPr>
          <w:b/>
          <w:sz w:val="22"/>
        </w:rPr>
        <w:t>March 15:</w:t>
      </w:r>
      <w:r w:rsidRPr="000D595E">
        <w:rPr>
          <w:bCs/>
          <w:sz w:val="22"/>
        </w:rPr>
        <w:t xml:space="preserve"> Directors/Chairs hold organizational meetings to elect chairs of RTP and NTT Evaluation Committees </w:t>
      </w:r>
    </w:p>
    <w:p w14:paraId="3342A480" w14:textId="77777777" w:rsidR="00835003" w:rsidRPr="000D595E" w:rsidRDefault="00835003" w:rsidP="00835003">
      <w:pPr>
        <w:rPr>
          <w:bCs/>
          <w:sz w:val="22"/>
        </w:rPr>
      </w:pPr>
      <w:r w:rsidRPr="000D595E">
        <w:rPr>
          <w:b/>
          <w:sz w:val="22"/>
        </w:rPr>
        <w:t xml:space="preserve">April 1: </w:t>
      </w:r>
      <w:r w:rsidRPr="000D595E">
        <w:rPr>
          <w:bCs/>
          <w:sz w:val="22"/>
        </w:rPr>
        <w:t>Directors/Chairs send letters of notification to candidates</w:t>
      </w:r>
    </w:p>
    <w:p w14:paraId="1EAD8CFB" w14:textId="77777777" w:rsidR="00835003" w:rsidRPr="000D595E" w:rsidRDefault="00835003" w:rsidP="00835003">
      <w:pPr>
        <w:rPr>
          <w:bCs/>
          <w:sz w:val="22"/>
        </w:rPr>
      </w:pPr>
      <w:r w:rsidRPr="000D595E">
        <w:rPr>
          <w:b/>
          <w:sz w:val="22"/>
        </w:rPr>
        <w:t>April 15:</w:t>
      </w:r>
      <w:r w:rsidRPr="000D595E">
        <w:rPr>
          <w:bCs/>
          <w:sz w:val="22"/>
        </w:rPr>
        <w:t xml:space="preserve"> Candidates for T/P send letter of intent to director/chair, including materials for external reviewers and a list of at least 3 potential external reviewers.</w:t>
      </w:r>
    </w:p>
    <w:p w14:paraId="79F83DC5" w14:textId="77777777" w:rsidR="00F811BF" w:rsidRPr="000D595E" w:rsidRDefault="00F811BF" w:rsidP="00F811BF">
      <w:pPr>
        <w:rPr>
          <w:sz w:val="22"/>
        </w:rPr>
      </w:pPr>
    </w:p>
    <w:p w14:paraId="0283A2BF" w14:textId="0E2D7A2D" w:rsidR="00835003" w:rsidRPr="00F811BF" w:rsidRDefault="00835003">
      <w:pPr>
        <w:rPr>
          <w:sz w:val="22"/>
        </w:rPr>
      </w:pPr>
      <w:r w:rsidRPr="00835003">
        <w:rPr>
          <w:sz w:val="22"/>
        </w:rPr>
        <w:t xml:space="preserve"> </w:t>
      </w:r>
    </w:p>
    <w:sectPr w:rsidR="00835003" w:rsidRPr="00F811BF" w:rsidSect="00C11D0A">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F0E1F"/>
    <w:multiLevelType w:val="multilevel"/>
    <w:tmpl w:val="90987F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886D20"/>
    <w:multiLevelType w:val="multilevel"/>
    <w:tmpl w:val="5100EC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E62AD8"/>
    <w:multiLevelType w:val="hybridMultilevel"/>
    <w:tmpl w:val="B4AE2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072E86"/>
    <w:multiLevelType w:val="multilevel"/>
    <w:tmpl w:val="1B642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AC6471"/>
    <w:multiLevelType w:val="hybridMultilevel"/>
    <w:tmpl w:val="1A049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CC12CC"/>
    <w:multiLevelType w:val="hybridMultilevel"/>
    <w:tmpl w:val="1A049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6851047">
    <w:abstractNumId w:val="4"/>
  </w:num>
  <w:num w:numId="2" w16cid:durableId="613291527">
    <w:abstractNumId w:val="5"/>
  </w:num>
  <w:num w:numId="3" w16cid:durableId="1672102796">
    <w:abstractNumId w:val="3"/>
  </w:num>
  <w:num w:numId="4" w16cid:durableId="1286085014">
    <w:abstractNumId w:val="1"/>
  </w:num>
  <w:num w:numId="5" w16cid:durableId="816915800">
    <w:abstractNumId w:val="0"/>
  </w:num>
  <w:num w:numId="6" w16cid:durableId="5212404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0BE"/>
    <w:rsid w:val="00001B94"/>
    <w:rsid w:val="000025DC"/>
    <w:rsid w:val="0000503B"/>
    <w:rsid w:val="00006E2F"/>
    <w:rsid w:val="00012272"/>
    <w:rsid w:val="000205BB"/>
    <w:rsid w:val="00021165"/>
    <w:rsid w:val="00021E29"/>
    <w:rsid w:val="00023600"/>
    <w:rsid w:val="00026DDC"/>
    <w:rsid w:val="000437C5"/>
    <w:rsid w:val="0004482A"/>
    <w:rsid w:val="000538F1"/>
    <w:rsid w:val="00055D97"/>
    <w:rsid w:val="000630A2"/>
    <w:rsid w:val="000639D1"/>
    <w:rsid w:val="00071975"/>
    <w:rsid w:val="00073547"/>
    <w:rsid w:val="00075D37"/>
    <w:rsid w:val="0008323B"/>
    <w:rsid w:val="000A56F4"/>
    <w:rsid w:val="000B1054"/>
    <w:rsid w:val="000B4A77"/>
    <w:rsid w:val="000C4704"/>
    <w:rsid w:val="000D595E"/>
    <w:rsid w:val="000D6338"/>
    <w:rsid w:val="000E2339"/>
    <w:rsid w:val="000E39B0"/>
    <w:rsid w:val="000E44FC"/>
    <w:rsid w:val="000E5787"/>
    <w:rsid w:val="000E6964"/>
    <w:rsid w:val="000F58AD"/>
    <w:rsid w:val="0010101B"/>
    <w:rsid w:val="001017F6"/>
    <w:rsid w:val="00103909"/>
    <w:rsid w:val="00107B20"/>
    <w:rsid w:val="00112122"/>
    <w:rsid w:val="00123649"/>
    <w:rsid w:val="001301E1"/>
    <w:rsid w:val="00161BBA"/>
    <w:rsid w:val="00162A6A"/>
    <w:rsid w:val="00171BAE"/>
    <w:rsid w:val="001825F5"/>
    <w:rsid w:val="0018355A"/>
    <w:rsid w:val="00191702"/>
    <w:rsid w:val="0019657C"/>
    <w:rsid w:val="001A0E02"/>
    <w:rsid w:val="001B3227"/>
    <w:rsid w:val="001B5353"/>
    <w:rsid w:val="001D4949"/>
    <w:rsid w:val="001E1292"/>
    <w:rsid w:val="001F3D4F"/>
    <w:rsid w:val="001F5771"/>
    <w:rsid w:val="00203E19"/>
    <w:rsid w:val="00212460"/>
    <w:rsid w:val="00221331"/>
    <w:rsid w:val="0022169D"/>
    <w:rsid w:val="00247AB1"/>
    <w:rsid w:val="00254D10"/>
    <w:rsid w:val="00256730"/>
    <w:rsid w:val="00261ADF"/>
    <w:rsid w:val="00264AD7"/>
    <w:rsid w:val="00282EAE"/>
    <w:rsid w:val="00287489"/>
    <w:rsid w:val="0028787A"/>
    <w:rsid w:val="002A3F53"/>
    <w:rsid w:val="002B1558"/>
    <w:rsid w:val="002B6E78"/>
    <w:rsid w:val="002C09D5"/>
    <w:rsid w:val="002C3396"/>
    <w:rsid w:val="002C5465"/>
    <w:rsid w:val="002C6E01"/>
    <w:rsid w:val="002F2335"/>
    <w:rsid w:val="00313089"/>
    <w:rsid w:val="003211AB"/>
    <w:rsid w:val="00332E20"/>
    <w:rsid w:val="00345384"/>
    <w:rsid w:val="00346B9A"/>
    <w:rsid w:val="0037379F"/>
    <w:rsid w:val="00385B74"/>
    <w:rsid w:val="003919AA"/>
    <w:rsid w:val="003A3BCA"/>
    <w:rsid w:val="003A5FE7"/>
    <w:rsid w:val="003C305E"/>
    <w:rsid w:val="003E1C16"/>
    <w:rsid w:val="003E5563"/>
    <w:rsid w:val="003F1455"/>
    <w:rsid w:val="003F4CF5"/>
    <w:rsid w:val="003F7107"/>
    <w:rsid w:val="004012FB"/>
    <w:rsid w:val="004078DA"/>
    <w:rsid w:val="00411462"/>
    <w:rsid w:val="00411855"/>
    <w:rsid w:val="00413A03"/>
    <w:rsid w:val="00417703"/>
    <w:rsid w:val="00431C5A"/>
    <w:rsid w:val="00443ED1"/>
    <w:rsid w:val="00443F2A"/>
    <w:rsid w:val="004454E4"/>
    <w:rsid w:val="00450679"/>
    <w:rsid w:val="00461617"/>
    <w:rsid w:val="00472268"/>
    <w:rsid w:val="00477BBE"/>
    <w:rsid w:val="0048392B"/>
    <w:rsid w:val="00492AD1"/>
    <w:rsid w:val="004A2564"/>
    <w:rsid w:val="004B2C1B"/>
    <w:rsid w:val="004D2672"/>
    <w:rsid w:val="004D4DC9"/>
    <w:rsid w:val="004D5697"/>
    <w:rsid w:val="004F2A0C"/>
    <w:rsid w:val="00515871"/>
    <w:rsid w:val="00515C79"/>
    <w:rsid w:val="0053059D"/>
    <w:rsid w:val="005479E4"/>
    <w:rsid w:val="005574C3"/>
    <w:rsid w:val="00571572"/>
    <w:rsid w:val="00576E0E"/>
    <w:rsid w:val="00580E88"/>
    <w:rsid w:val="00583F7F"/>
    <w:rsid w:val="0058557E"/>
    <w:rsid w:val="005874DC"/>
    <w:rsid w:val="005B728F"/>
    <w:rsid w:val="005C6DA7"/>
    <w:rsid w:val="005F2C34"/>
    <w:rsid w:val="0062401F"/>
    <w:rsid w:val="00624376"/>
    <w:rsid w:val="00624C4B"/>
    <w:rsid w:val="00650C93"/>
    <w:rsid w:val="00656435"/>
    <w:rsid w:val="0066383F"/>
    <w:rsid w:val="00663EB4"/>
    <w:rsid w:val="00670289"/>
    <w:rsid w:val="0067276E"/>
    <w:rsid w:val="006754D9"/>
    <w:rsid w:val="00687552"/>
    <w:rsid w:val="006961D5"/>
    <w:rsid w:val="00696604"/>
    <w:rsid w:val="006A0B7B"/>
    <w:rsid w:val="006C3D4E"/>
    <w:rsid w:val="006C5B33"/>
    <w:rsid w:val="006D4C7E"/>
    <w:rsid w:val="006D6375"/>
    <w:rsid w:val="006E26E8"/>
    <w:rsid w:val="006E4CAC"/>
    <w:rsid w:val="006F4029"/>
    <w:rsid w:val="00700834"/>
    <w:rsid w:val="0070121E"/>
    <w:rsid w:val="00711E69"/>
    <w:rsid w:val="00712342"/>
    <w:rsid w:val="00716735"/>
    <w:rsid w:val="00721A97"/>
    <w:rsid w:val="007236BF"/>
    <w:rsid w:val="00746BA9"/>
    <w:rsid w:val="00747C16"/>
    <w:rsid w:val="00751B46"/>
    <w:rsid w:val="00760DBA"/>
    <w:rsid w:val="00763E59"/>
    <w:rsid w:val="007718CC"/>
    <w:rsid w:val="00796048"/>
    <w:rsid w:val="007A0915"/>
    <w:rsid w:val="007A62AB"/>
    <w:rsid w:val="007A755F"/>
    <w:rsid w:val="007B28C2"/>
    <w:rsid w:val="007B4BAA"/>
    <w:rsid w:val="007C1C60"/>
    <w:rsid w:val="007F2CA5"/>
    <w:rsid w:val="008019B5"/>
    <w:rsid w:val="00813D11"/>
    <w:rsid w:val="008260E1"/>
    <w:rsid w:val="0083031C"/>
    <w:rsid w:val="00835003"/>
    <w:rsid w:val="00842AAA"/>
    <w:rsid w:val="00844730"/>
    <w:rsid w:val="00850259"/>
    <w:rsid w:val="008723E1"/>
    <w:rsid w:val="008742E5"/>
    <w:rsid w:val="00877564"/>
    <w:rsid w:val="008909B4"/>
    <w:rsid w:val="008935B6"/>
    <w:rsid w:val="008A3D0D"/>
    <w:rsid w:val="008A6D26"/>
    <w:rsid w:val="008B1FDA"/>
    <w:rsid w:val="008C6DB1"/>
    <w:rsid w:val="008D29BA"/>
    <w:rsid w:val="008F16EE"/>
    <w:rsid w:val="008F4AC2"/>
    <w:rsid w:val="008F73CB"/>
    <w:rsid w:val="009034F1"/>
    <w:rsid w:val="00903750"/>
    <w:rsid w:val="00905541"/>
    <w:rsid w:val="00906EA8"/>
    <w:rsid w:val="00906FFA"/>
    <w:rsid w:val="0093120E"/>
    <w:rsid w:val="00933725"/>
    <w:rsid w:val="0094545D"/>
    <w:rsid w:val="009501DD"/>
    <w:rsid w:val="00950EE9"/>
    <w:rsid w:val="00955DD3"/>
    <w:rsid w:val="00974F98"/>
    <w:rsid w:val="009801A2"/>
    <w:rsid w:val="009A6544"/>
    <w:rsid w:val="009A6D88"/>
    <w:rsid w:val="009C2842"/>
    <w:rsid w:val="009C55E3"/>
    <w:rsid w:val="009D1702"/>
    <w:rsid w:val="009E07CB"/>
    <w:rsid w:val="009E3F14"/>
    <w:rsid w:val="009E426E"/>
    <w:rsid w:val="009E5F47"/>
    <w:rsid w:val="009E7AFB"/>
    <w:rsid w:val="00A032C5"/>
    <w:rsid w:val="00A16A45"/>
    <w:rsid w:val="00A23AF3"/>
    <w:rsid w:val="00A35CBB"/>
    <w:rsid w:val="00A41CED"/>
    <w:rsid w:val="00A55013"/>
    <w:rsid w:val="00A558EE"/>
    <w:rsid w:val="00A65E83"/>
    <w:rsid w:val="00A670DB"/>
    <w:rsid w:val="00A75507"/>
    <w:rsid w:val="00A75DBC"/>
    <w:rsid w:val="00A94AAE"/>
    <w:rsid w:val="00A94ED0"/>
    <w:rsid w:val="00AA08CD"/>
    <w:rsid w:val="00AA4F7E"/>
    <w:rsid w:val="00AB2C32"/>
    <w:rsid w:val="00AB3385"/>
    <w:rsid w:val="00AC5CD3"/>
    <w:rsid w:val="00AD0311"/>
    <w:rsid w:val="00AD573D"/>
    <w:rsid w:val="00AD793B"/>
    <w:rsid w:val="00AE2CDF"/>
    <w:rsid w:val="00AE76FC"/>
    <w:rsid w:val="00AE7EB6"/>
    <w:rsid w:val="00AF1E6E"/>
    <w:rsid w:val="00AF48A4"/>
    <w:rsid w:val="00B03FE5"/>
    <w:rsid w:val="00B24682"/>
    <w:rsid w:val="00B3218A"/>
    <w:rsid w:val="00B339CB"/>
    <w:rsid w:val="00B35154"/>
    <w:rsid w:val="00B41A5C"/>
    <w:rsid w:val="00B54BC6"/>
    <w:rsid w:val="00B5768F"/>
    <w:rsid w:val="00B64655"/>
    <w:rsid w:val="00B73750"/>
    <w:rsid w:val="00B8613C"/>
    <w:rsid w:val="00BB3500"/>
    <w:rsid w:val="00BB76B3"/>
    <w:rsid w:val="00BD6E52"/>
    <w:rsid w:val="00BE3B00"/>
    <w:rsid w:val="00BF6982"/>
    <w:rsid w:val="00C013DD"/>
    <w:rsid w:val="00C0723C"/>
    <w:rsid w:val="00C10A4B"/>
    <w:rsid w:val="00C11D0A"/>
    <w:rsid w:val="00C125D5"/>
    <w:rsid w:val="00C170EC"/>
    <w:rsid w:val="00C256DF"/>
    <w:rsid w:val="00C36BE8"/>
    <w:rsid w:val="00C40015"/>
    <w:rsid w:val="00C42096"/>
    <w:rsid w:val="00C518FF"/>
    <w:rsid w:val="00C54882"/>
    <w:rsid w:val="00C60A18"/>
    <w:rsid w:val="00C628BD"/>
    <w:rsid w:val="00C6372E"/>
    <w:rsid w:val="00C7266D"/>
    <w:rsid w:val="00C823FB"/>
    <w:rsid w:val="00C84307"/>
    <w:rsid w:val="00C85033"/>
    <w:rsid w:val="00C85296"/>
    <w:rsid w:val="00C85A86"/>
    <w:rsid w:val="00CA2889"/>
    <w:rsid w:val="00CA37FF"/>
    <w:rsid w:val="00CC0586"/>
    <w:rsid w:val="00CC4356"/>
    <w:rsid w:val="00CD0313"/>
    <w:rsid w:val="00CD5454"/>
    <w:rsid w:val="00CE5EDB"/>
    <w:rsid w:val="00CE7F9C"/>
    <w:rsid w:val="00CF0186"/>
    <w:rsid w:val="00CF2511"/>
    <w:rsid w:val="00CF56BB"/>
    <w:rsid w:val="00D023B3"/>
    <w:rsid w:val="00D040BE"/>
    <w:rsid w:val="00D042DA"/>
    <w:rsid w:val="00D152A1"/>
    <w:rsid w:val="00D23954"/>
    <w:rsid w:val="00D248AB"/>
    <w:rsid w:val="00D32849"/>
    <w:rsid w:val="00D43382"/>
    <w:rsid w:val="00D525EF"/>
    <w:rsid w:val="00D526CD"/>
    <w:rsid w:val="00D55F39"/>
    <w:rsid w:val="00D55FDB"/>
    <w:rsid w:val="00D702F9"/>
    <w:rsid w:val="00D723B9"/>
    <w:rsid w:val="00D7510B"/>
    <w:rsid w:val="00D760BC"/>
    <w:rsid w:val="00D8240A"/>
    <w:rsid w:val="00D975AC"/>
    <w:rsid w:val="00DA5F1F"/>
    <w:rsid w:val="00DB1302"/>
    <w:rsid w:val="00DB6F0B"/>
    <w:rsid w:val="00DC1471"/>
    <w:rsid w:val="00DC17BA"/>
    <w:rsid w:val="00DF6044"/>
    <w:rsid w:val="00E07F1B"/>
    <w:rsid w:val="00E24D12"/>
    <w:rsid w:val="00E27AE4"/>
    <w:rsid w:val="00E44C2E"/>
    <w:rsid w:val="00E45A43"/>
    <w:rsid w:val="00E55AE0"/>
    <w:rsid w:val="00E62A12"/>
    <w:rsid w:val="00E7164A"/>
    <w:rsid w:val="00E81A2F"/>
    <w:rsid w:val="00E86963"/>
    <w:rsid w:val="00E97A9B"/>
    <w:rsid w:val="00EA0B07"/>
    <w:rsid w:val="00EA1167"/>
    <w:rsid w:val="00EA5BD2"/>
    <w:rsid w:val="00EA7A29"/>
    <w:rsid w:val="00EB2739"/>
    <w:rsid w:val="00EC73DF"/>
    <w:rsid w:val="00ED35C3"/>
    <w:rsid w:val="00ED5324"/>
    <w:rsid w:val="00ED7178"/>
    <w:rsid w:val="00EE206C"/>
    <w:rsid w:val="00EE3CA1"/>
    <w:rsid w:val="00EE3E8C"/>
    <w:rsid w:val="00EE585E"/>
    <w:rsid w:val="00EE586F"/>
    <w:rsid w:val="00EF2363"/>
    <w:rsid w:val="00EF3F55"/>
    <w:rsid w:val="00F056D1"/>
    <w:rsid w:val="00F202CA"/>
    <w:rsid w:val="00F22311"/>
    <w:rsid w:val="00F32291"/>
    <w:rsid w:val="00F44E40"/>
    <w:rsid w:val="00F5702A"/>
    <w:rsid w:val="00F6475A"/>
    <w:rsid w:val="00F67015"/>
    <w:rsid w:val="00F71E43"/>
    <w:rsid w:val="00F737CD"/>
    <w:rsid w:val="00F811BF"/>
    <w:rsid w:val="00F85BF3"/>
    <w:rsid w:val="00F86E65"/>
    <w:rsid w:val="00F912BD"/>
    <w:rsid w:val="00F94A8C"/>
    <w:rsid w:val="00F97F96"/>
    <w:rsid w:val="00FC72AC"/>
    <w:rsid w:val="00FF4837"/>
    <w:rsid w:val="603BD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2B799"/>
  <w15:chartTrackingRefBased/>
  <w15:docId w15:val="{FFBF22A4-0918-46D3-B92F-B04D2135D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Theme="minorHAnsi" w:hAnsi="Garamond"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0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D040B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D040BE"/>
    <w:pPr>
      <w:spacing w:after="0" w:line="240" w:lineRule="auto"/>
    </w:pPr>
    <w:rPr>
      <w:rFonts w:asciiTheme="minorHAnsi" w:eastAsiaTheme="minorEastAsia" w:hAnsiTheme="minorHAnsi"/>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xxxxmsonormal">
    <w:name w:val="x_xxxxxxxmsonormal"/>
    <w:basedOn w:val="Normal"/>
    <w:rsid w:val="00670289"/>
    <w:pPr>
      <w:spacing w:before="100" w:beforeAutospacing="1" w:after="100" w:afterAutospacing="1" w:line="240" w:lineRule="auto"/>
    </w:pPr>
    <w:rPr>
      <w:rFonts w:ascii="Times New Roman" w:eastAsia="Times New Roman" w:hAnsi="Times New Roman" w:cs="Times New Roman"/>
      <w:szCs w:val="24"/>
    </w:rPr>
  </w:style>
  <w:style w:type="paragraph" w:customStyle="1" w:styleId="xmsonormal">
    <w:name w:val="x_msonormal"/>
    <w:basedOn w:val="Normal"/>
    <w:rsid w:val="00A94ED0"/>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unhideWhenUsed/>
    <w:rsid w:val="00B3218A"/>
    <w:rPr>
      <w:color w:val="0563C1" w:themeColor="hyperlink"/>
      <w:u w:val="single"/>
    </w:rPr>
  </w:style>
  <w:style w:type="character" w:customStyle="1" w:styleId="UnresolvedMention1">
    <w:name w:val="Unresolved Mention1"/>
    <w:basedOn w:val="DefaultParagraphFont"/>
    <w:uiPriority w:val="99"/>
    <w:semiHidden/>
    <w:unhideWhenUsed/>
    <w:rsid w:val="00B3218A"/>
    <w:rPr>
      <w:color w:val="605E5C"/>
      <w:shd w:val="clear" w:color="auto" w:fill="E1DFDD"/>
    </w:rPr>
  </w:style>
  <w:style w:type="character" w:customStyle="1" w:styleId="xcontentpasted1">
    <w:name w:val="x_contentpasted1"/>
    <w:basedOn w:val="DefaultParagraphFont"/>
    <w:rsid w:val="00974F98"/>
  </w:style>
  <w:style w:type="character" w:customStyle="1" w:styleId="xcontentpasted2">
    <w:name w:val="x_contentpasted2"/>
    <w:basedOn w:val="DefaultParagraphFont"/>
    <w:rsid w:val="00974F98"/>
  </w:style>
  <w:style w:type="character" w:customStyle="1" w:styleId="xcontentpasted3">
    <w:name w:val="x_contentpasted3"/>
    <w:basedOn w:val="DefaultParagraphFont"/>
    <w:rsid w:val="00974F98"/>
  </w:style>
  <w:style w:type="paragraph" w:customStyle="1" w:styleId="xxxxelementtoproof">
    <w:name w:val="x_xxxelementtoproof"/>
    <w:basedOn w:val="Normal"/>
    <w:rsid w:val="00247AB1"/>
    <w:pPr>
      <w:spacing w:before="100" w:beforeAutospacing="1" w:after="100" w:afterAutospacing="1" w:line="240" w:lineRule="auto"/>
    </w:pPr>
    <w:rPr>
      <w:rFonts w:ascii="Times New Roman" w:eastAsia="Times New Roman" w:hAnsi="Times New Roman" w:cs="Times New Roman"/>
      <w:szCs w:val="24"/>
    </w:rPr>
  </w:style>
  <w:style w:type="paragraph" w:customStyle="1" w:styleId="xxxxxxxelementtoproof">
    <w:name w:val="x_xxxxxxelementtoproof"/>
    <w:basedOn w:val="Normal"/>
    <w:rsid w:val="00247AB1"/>
    <w:pPr>
      <w:spacing w:before="100" w:beforeAutospacing="1" w:after="100" w:afterAutospacing="1" w:line="240" w:lineRule="auto"/>
    </w:pPr>
    <w:rPr>
      <w:rFonts w:ascii="Times New Roman" w:eastAsia="Times New Roman" w:hAnsi="Times New Roman" w:cs="Times New Roman"/>
      <w:szCs w:val="24"/>
    </w:rPr>
  </w:style>
  <w:style w:type="character" w:styleId="UnresolvedMention">
    <w:name w:val="Unresolved Mention"/>
    <w:basedOn w:val="DefaultParagraphFont"/>
    <w:uiPriority w:val="99"/>
    <w:semiHidden/>
    <w:unhideWhenUsed/>
    <w:rsid w:val="00012272"/>
    <w:rPr>
      <w:color w:val="605E5C"/>
      <w:shd w:val="clear" w:color="auto" w:fill="E1DFDD"/>
    </w:rPr>
  </w:style>
  <w:style w:type="paragraph" w:styleId="ListParagraph">
    <w:name w:val="List Paragraph"/>
    <w:basedOn w:val="Normal"/>
    <w:uiPriority w:val="34"/>
    <w:qFormat/>
    <w:rsid w:val="0058557E"/>
    <w:pPr>
      <w:ind w:left="720"/>
      <w:contextualSpacing/>
    </w:pPr>
  </w:style>
  <w:style w:type="character" w:styleId="FollowedHyperlink">
    <w:name w:val="FollowedHyperlink"/>
    <w:basedOn w:val="DefaultParagraphFont"/>
    <w:uiPriority w:val="99"/>
    <w:semiHidden/>
    <w:unhideWhenUsed/>
    <w:rsid w:val="001A0E02"/>
    <w:rPr>
      <w:color w:val="954F72" w:themeColor="followedHyperlink"/>
      <w:u w:val="single"/>
    </w:rPr>
  </w:style>
  <w:style w:type="paragraph" w:styleId="Revision">
    <w:name w:val="Revision"/>
    <w:hidden/>
    <w:uiPriority w:val="99"/>
    <w:semiHidden/>
    <w:rsid w:val="001A0E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700212">
      <w:bodyDiv w:val="1"/>
      <w:marLeft w:val="0"/>
      <w:marRight w:val="0"/>
      <w:marTop w:val="0"/>
      <w:marBottom w:val="0"/>
      <w:divBdr>
        <w:top w:val="none" w:sz="0" w:space="0" w:color="auto"/>
        <w:left w:val="none" w:sz="0" w:space="0" w:color="auto"/>
        <w:bottom w:val="none" w:sz="0" w:space="0" w:color="auto"/>
        <w:right w:val="none" w:sz="0" w:space="0" w:color="auto"/>
      </w:divBdr>
      <w:divsChild>
        <w:div w:id="111172960">
          <w:marLeft w:val="0"/>
          <w:marRight w:val="0"/>
          <w:marTop w:val="0"/>
          <w:marBottom w:val="0"/>
          <w:divBdr>
            <w:top w:val="none" w:sz="0" w:space="0" w:color="auto"/>
            <w:left w:val="none" w:sz="0" w:space="0" w:color="auto"/>
            <w:bottom w:val="none" w:sz="0" w:space="0" w:color="auto"/>
            <w:right w:val="none" w:sz="0" w:space="0" w:color="auto"/>
          </w:divBdr>
        </w:div>
        <w:div w:id="932594025">
          <w:marLeft w:val="0"/>
          <w:marRight w:val="0"/>
          <w:marTop w:val="0"/>
          <w:marBottom w:val="0"/>
          <w:divBdr>
            <w:top w:val="none" w:sz="0" w:space="0" w:color="auto"/>
            <w:left w:val="none" w:sz="0" w:space="0" w:color="auto"/>
            <w:bottom w:val="none" w:sz="0" w:space="0" w:color="auto"/>
            <w:right w:val="none" w:sz="0" w:space="0" w:color="auto"/>
          </w:divBdr>
        </w:div>
        <w:div w:id="2074502864">
          <w:marLeft w:val="0"/>
          <w:marRight w:val="0"/>
          <w:marTop w:val="0"/>
          <w:marBottom w:val="0"/>
          <w:divBdr>
            <w:top w:val="none" w:sz="0" w:space="0" w:color="auto"/>
            <w:left w:val="none" w:sz="0" w:space="0" w:color="auto"/>
            <w:bottom w:val="none" w:sz="0" w:space="0" w:color="auto"/>
            <w:right w:val="none" w:sz="0" w:space="0" w:color="auto"/>
          </w:divBdr>
        </w:div>
        <w:div w:id="1302924224">
          <w:marLeft w:val="0"/>
          <w:marRight w:val="0"/>
          <w:marTop w:val="0"/>
          <w:marBottom w:val="0"/>
          <w:divBdr>
            <w:top w:val="none" w:sz="0" w:space="0" w:color="auto"/>
            <w:left w:val="none" w:sz="0" w:space="0" w:color="auto"/>
            <w:bottom w:val="none" w:sz="0" w:space="0" w:color="auto"/>
            <w:right w:val="none" w:sz="0" w:space="0" w:color="auto"/>
          </w:divBdr>
        </w:div>
        <w:div w:id="1607930618">
          <w:marLeft w:val="0"/>
          <w:marRight w:val="0"/>
          <w:marTop w:val="0"/>
          <w:marBottom w:val="0"/>
          <w:divBdr>
            <w:top w:val="none" w:sz="0" w:space="0" w:color="auto"/>
            <w:left w:val="none" w:sz="0" w:space="0" w:color="auto"/>
            <w:bottom w:val="none" w:sz="0" w:space="0" w:color="auto"/>
            <w:right w:val="none" w:sz="0" w:space="0" w:color="auto"/>
          </w:divBdr>
        </w:div>
      </w:divsChild>
    </w:div>
    <w:div w:id="501509798">
      <w:bodyDiv w:val="1"/>
      <w:marLeft w:val="0"/>
      <w:marRight w:val="0"/>
      <w:marTop w:val="0"/>
      <w:marBottom w:val="0"/>
      <w:divBdr>
        <w:top w:val="none" w:sz="0" w:space="0" w:color="auto"/>
        <w:left w:val="none" w:sz="0" w:space="0" w:color="auto"/>
        <w:bottom w:val="none" w:sz="0" w:space="0" w:color="auto"/>
        <w:right w:val="none" w:sz="0" w:space="0" w:color="auto"/>
      </w:divBdr>
    </w:div>
    <w:div w:id="528833829">
      <w:bodyDiv w:val="1"/>
      <w:marLeft w:val="0"/>
      <w:marRight w:val="0"/>
      <w:marTop w:val="0"/>
      <w:marBottom w:val="0"/>
      <w:divBdr>
        <w:top w:val="none" w:sz="0" w:space="0" w:color="auto"/>
        <w:left w:val="none" w:sz="0" w:space="0" w:color="auto"/>
        <w:bottom w:val="none" w:sz="0" w:space="0" w:color="auto"/>
        <w:right w:val="none" w:sz="0" w:space="0" w:color="auto"/>
      </w:divBdr>
      <w:divsChild>
        <w:div w:id="389232100">
          <w:marLeft w:val="0"/>
          <w:marRight w:val="0"/>
          <w:marTop w:val="0"/>
          <w:marBottom w:val="0"/>
          <w:divBdr>
            <w:top w:val="none" w:sz="0" w:space="0" w:color="auto"/>
            <w:left w:val="none" w:sz="0" w:space="0" w:color="auto"/>
            <w:bottom w:val="none" w:sz="0" w:space="0" w:color="auto"/>
            <w:right w:val="none" w:sz="0" w:space="0" w:color="auto"/>
          </w:divBdr>
        </w:div>
        <w:div w:id="1624966071">
          <w:marLeft w:val="0"/>
          <w:marRight w:val="0"/>
          <w:marTop w:val="0"/>
          <w:marBottom w:val="0"/>
          <w:divBdr>
            <w:top w:val="none" w:sz="0" w:space="0" w:color="auto"/>
            <w:left w:val="none" w:sz="0" w:space="0" w:color="auto"/>
            <w:bottom w:val="none" w:sz="0" w:space="0" w:color="auto"/>
            <w:right w:val="none" w:sz="0" w:space="0" w:color="auto"/>
          </w:divBdr>
        </w:div>
        <w:div w:id="28185033">
          <w:marLeft w:val="0"/>
          <w:marRight w:val="0"/>
          <w:marTop w:val="0"/>
          <w:marBottom w:val="0"/>
          <w:divBdr>
            <w:top w:val="none" w:sz="0" w:space="0" w:color="auto"/>
            <w:left w:val="none" w:sz="0" w:space="0" w:color="auto"/>
            <w:bottom w:val="none" w:sz="0" w:space="0" w:color="auto"/>
            <w:right w:val="none" w:sz="0" w:space="0" w:color="auto"/>
          </w:divBdr>
        </w:div>
        <w:div w:id="1420761095">
          <w:marLeft w:val="0"/>
          <w:marRight w:val="0"/>
          <w:marTop w:val="0"/>
          <w:marBottom w:val="0"/>
          <w:divBdr>
            <w:top w:val="none" w:sz="0" w:space="0" w:color="auto"/>
            <w:left w:val="none" w:sz="0" w:space="0" w:color="auto"/>
            <w:bottom w:val="none" w:sz="0" w:space="0" w:color="auto"/>
            <w:right w:val="none" w:sz="0" w:space="0" w:color="auto"/>
          </w:divBdr>
        </w:div>
        <w:div w:id="1513762070">
          <w:marLeft w:val="0"/>
          <w:marRight w:val="0"/>
          <w:marTop w:val="0"/>
          <w:marBottom w:val="0"/>
          <w:divBdr>
            <w:top w:val="none" w:sz="0" w:space="0" w:color="auto"/>
            <w:left w:val="none" w:sz="0" w:space="0" w:color="auto"/>
            <w:bottom w:val="none" w:sz="0" w:space="0" w:color="auto"/>
            <w:right w:val="none" w:sz="0" w:space="0" w:color="auto"/>
          </w:divBdr>
        </w:div>
      </w:divsChild>
    </w:div>
    <w:div w:id="817263184">
      <w:bodyDiv w:val="1"/>
      <w:marLeft w:val="0"/>
      <w:marRight w:val="0"/>
      <w:marTop w:val="0"/>
      <w:marBottom w:val="0"/>
      <w:divBdr>
        <w:top w:val="none" w:sz="0" w:space="0" w:color="auto"/>
        <w:left w:val="none" w:sz="0" w:space="0" w:color="auto"/>
        <w:bottom w:val="none" w:sz="0" w:space="0" w:color="auto"/>
        <w:right w:val="none" w:sz="0" w:space="0" w:color="auto"/>
      </w:divBdr>
      <w:divsChild>
        <w:div w:id="1008093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429141">
              <w:marLeft w:val="0"/>
              <w:marRight w:val="0"/>
              <w:marTop w:val="0"/>
              <w:marBottom w:val="0"/>
              <w:divBdr>
                <w:top w:val="none" w:sz="0" w:space="0" w:color="auto"/>
                <w:left w:val="none" w:sz="0" w:space="0" w:color="auto"/>
                <w:bottom w:val="none" w:sz="0" w:space="0" w:color="auto"/>
                <w:right w:val="none" w:sz="0" w:space="0" w:color="auto"/>
              </w:divBdr>
              <w:divsChild>
                <w:div w:id="209840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889344">
      <w:bodyDiv w:val="1"/>
      <w:marLeft w:val="0"/>
      <w:marRight w:val="0"/>
      <w:marTop w:val="0"/>
      <w:marBottom w:val="0"/>
      <w:divBdr>
        <w:top w:val="none" w:sz="0" w:space="0" w:color="auto"/>
        <w:left w:val="none" w:sz="0" w:space="0" w:color="auto"/>
        <w:bottom w:val="none" w:sz="0" w:space="0" w:color="auto"/>
        <w:right w:val="none" w:sz="0" w:space="0" w:color="auto"/>
      </w:divBdr>
      <w:divsChild>
        <w:div w:id="1325937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1220668">
              <w:marLeft w:val="0"/>
              <w:marRight w:val="0"/>
              <w:marTop w:val="0"/>
              <w:marBottom w:val="0"/>
              <w:divBdr>
                <w:top w:val="none" w:sz="0" w:space="0" w:color="auto"/>
                <w:left w:val="none" w:sz="0" w:space="0" w:color="auto"/>
                <w:bottom w:val="none" w:sz="0" w:space="0" w:color="auto"/>
                <w:right w:val="none" w:sz="0" w:space="0" w:color="auto"/>
              </w:divBdr>
              <w:divsChild>
                <w:div w:id="2132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622002">
      <w:bodyDiv w:val="1"/>
      <w:marLeft w:val="0"/>
      <w:marRight w:val="0"/>
      <w:marTop w:val="0"/>
      <w:marBottom w:val="0"/>
      <w:divBdr>
        <w:top w:val="none" w:sz="0" w:space="0" w:color="auto"/>
        <w:left w:val="none" w:sz="0" w:space="0" w:color="auto"/>
        <w:bottom w:val="none" w:sz="0" w:space="0" w:color="auto"/>
        <w:right w:val="none" w:sz="0" w:space="0" w:color="auto"/>
      </w:divBdr>
      <w:divsChild>
        <w:div w:id="1186097912">
          <w:marLeft w:val="0"/>
          <w:marRight w:val="0"/>
          <w:marTop w:val="0"/>
          <w:marBottom w:val="0"/>
          <w:divBdr>
            <w:top w:val="none" w:sz="0" w:space="0" w:color="auto"/>
            <w:left w:val="none" w:sz="0" w:space="0" w:color="auto"/>
            <w:bottom w:val="none" w:sz="0" w:space="0" w:color="auto"/>
            <w:right w:val="none" w:sz="0" w:space="0" w:color="auto"/>
          </w:divBdr>
        </w:div>
      </w:divsChild>
    </w:div>
    <w:div w:id="1628971597">
      <w:bodyDiv w:val="1"/>
      <w:marLeft w:val="0"/>
      <w:marRight w:val="0"/>
      <w:marTop w:val="0"/>
      <w:marBottom w:val="0"/>
      <w:divBdr>
        <w:top w:val="none" w:sz="0" w:space="0" w:color="auto"/>
        <w:left w:val="none" w:sz="0" w:space="0" w:color="auto"/>
        <w:bottom w:val="none" w:sz="0" w:space="0" w:color="auto"/>
        <w:right w:val="none" w:sz="0" w:space="0" w:color="auto"/>
      </w:divBdr>
      <w:divsChild>
        <w:div w:id="1048264141">
          <w:marLeft w:val="0"/>
          <w:marRight w:val="0"/>
          <w:marTop w:val="0"/>
          <w:marBottom w:val="0"/>
          <w:divBdr>
            <w:top w:val="none" w:sz="0" w:space="0" w:color="auto"/>
            <w:left w:val="none" w:sz="0" w:space="0" w:color="auto"/>
            <w:bottom w:val="none" w:sz="0" w:space="0" w:color="auto"/>
            <w:right w:val="none" w:sz="0" w:space="0" w:color="auto"/>
          </w:divBdr>
        </w:div>
      </w:divsChild>
    </w:div>
    <w:div w:id="1853374855">
      <w:bodyDiv w:val="1"/>
      <w:marLeft w:val="0"/>
      <w:marRight w:val="0"/>
      <w:marTop w:val="0"/>
      <w:marBottom w:val="0"/>
      <w:divBdr>
        <w:top w:val="none" w:sz="0" w:space="0" w:color="auto"/>
        <w:left w:val="none" w:sz="0" w:space="0" w:color="auto"/>
        <w:bottom w:val="none" w:sz="0" w:space="0" w:color="auto"/>
        <w:right w:val="none" w:sz="0" w:space="0" w:color="auto"/>
      </w:divBdr>
      <w:divsChild>
        <w:div w:id="191453752">
          <w:blockQuote w:val="1"/>
          <w:marLeft w:val="720"/>
          <w:marRight w:val="720"/>
          <w:marTop w:val="0"/>
          <w:marBottom w:val="0"/>
          <w:divBdr>
            <w:top w:val="none" w:sz="0" w:space="0" w:color="auto"/>
            <w:left w:val="none" w:sz="0" w:space="0" w:color="auto"/>
            <w:bottom w:val="none" w:sz="0" w:space="0" w:color="auto"/>
            <w:right w:val="none" w:sz="0" w:space="0" w:color="auto"/>
          </w:divBdr>
          <w:divsChild>
            <w:div w:id="68701793">
              <w:marLeft w:val="0"/>
              <w:marRight w:val="0"/>
              <w:marTop w:val="0"/>
              <w:marBottom w:val="0"/>
              <w:divBdr>
                <w:top w:val="none" w:sz="0" w:space="0" w:color="auto"/>
                <w:left w:val="none" w:sz="0" w:space="0" w:color="auto"/>
                <w:bottom w:val="none" w:sz="0" w:space="0" w:color="auto"/>
                <w:right w:val="none" w:sz="0" w:space="0" w:color="auto"/>
              </w:divBdr>
            </w:div>
          </w:divsChild>
        </w:div>
        <w:div w:id="841160967">
          <w:marLeft w:val="0"/>
          <w:marRight w:val="0"/>
          <w:marTop w:val="0"/>
          <w:marBottom w:val="0"/>
          <w:divBdr>
            <w:top w:val="none" w:sz="0" w:space="0" w:color="auto"/>
            <w:left w:val="none" w:sz="0" w:space="0" w:color="auto"/>
            <w:bottom w:val="none" w:sz="0" w:space="0" w:color="auto"/>
            <w:right w:val="none" w:sz="0" w:space="0" w:color="auto"/>
          </w:divBdr>
        </w:div>
        <w:div w:id="1075862246">
          <w:marLeft w:val="0"/>
          <w:marRight w:val="0"/>
          <w:marTop w:val="0"/>
          <w:marBottom w:val="0"/>
          <w:divBdr>
            <w:top w:val="none" w:sz="0" w:space="0" w:color="auto"/>
            <w:left w:val="none" w:sz="0" w:space="0" w:color="auto"/>
            <w:bottom w:val="none" w:sz="0" w:space="0" w:color="auto"/>
            <w:right w:val="none" w:sz="0" w:space="0" w:color="auto"/>
          </w:divBdr>
        </w:div>
        <w:div w:id="1207985346">
          <w:marLeft w:val="0"/>
          <w:marRight w:val="0"/>
          <w:marTop w:val="0"/>
          <w:marBottom w:val="0"/>
          <w:divBdr>
            <w:top w:val="none" w:sz="0" w:space="0" w:color="auto"/>
            <w:left w:val="none" w:sz="0" w:space="0" w:color="auto"/>
            <w:bottom w:val="none" w:sz="0" w:space="0" w:color="auto"/>
            <w:right w:val="none" w:sz="0" w:space="0" w:color="auto"/>
          </w:divBdr>
        </w:div>
        <w:div w:id="77992013">
          <w:marLeft w:val="0"/>
          <w:marRight w:val="0"/>
          <w:marTop w:val="0"/>
          <w:marBottom w:val="0"/>
          <w:divBdr>
            <w:top w:val="none" w:sz="0" w:space="0" w:color="auto"/>
            <w:left w:val="none" w:sz="0" w:space="0" w:color="auto"/>
            <w:bottom w:val="none" w:sz="0" w:space="0" w:color="auto"/>
            <w:right w:val="none" w:sz="0" w:space="0" w:color="auto"/>
          </w:divBdr>
        </w:div>
        <w:div w:id="78909641">
          <w:marLeft w:val="0"/>
          <w:marRight w:val="0"/>
          <w:marTop w:val="0"/>
          <w:marBottom w:val="0"/>
          <w:divBdr>
            <w:top w:val="none" w:sz="0" w:space="0" w:color="auto"/>
            <w:left w:val="none" w:sz="0" w:space="0" w:color="auto"/>
            <w:bottom w:val="none" w:sz="0" w:space="0" w:color="auto"/>
            <w:right w:val="none" w:sz="0" w:space="0" w:color="auto"/>
          </w:divBdr>
          <w:divsChild>
            <w:div w:id="1760826556">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akron.edu/it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uakron.edu/oaa/faculty-affairs/" TargetMode="Externa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F29C723636EB409413656172C412CD" ma:contentTypeVersion="13" ma:contentTypeDescription="Create a new document." ma:contentTypeScope="" ma:versionID="3e528a79eeb4236a66a291d5e6357dc3">
  <xsd:schema xmlns:xsd="http://www.w3.org/2001/XMLSchema" xmlns:xs="http://www.w3.org/2001/XMLSchema" xmlns:p="http://schemas.microsoft.com/office/2006/metadata/properties" xmlns:ns2="302a2e0c-63df-4263-9e81-208bb09e6888" xmlns:ns3="fa35f671-df8d-4fa0-93d2-202b94b462b5" targetNamespace="http://schemas.microsoft.com/office/2006/metadata/properties" ma:root="true" ma:fieldsID="94655c54e0170ff08af32263724bebde" ns2:_="" ns3:_="">
    <xsd:import namespace="302a2e0c-63df-4263-9e81-208bb09e6888"/>
    <xsd:import namespace="fa35f671-df8d-4fa0-93d2-202b94b462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2a2e0c-63df-4263-9e81-208bb09e68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5f671-df8d-4fa0-93d2-202b94b462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2B8011-5D20-4C8F-9BC7-5030192FC080}">
  <ds:schemaRefs>
    <ds:schemaRef ds:uri="http://schemas.microsoft.com/sharepoint/v3/contenttype/forms"/>
  </ds:schemaRefs>
</ds:datastoreItem>
</file>

<file path=customXml/itemProps2.xml><?xml version="1.0" encoding="utf-8"?>
<ds:datastoreItem xmlns:ds="http://schemas.openxmlformats.org/officeDocument/2006/customXml" ds:itemID="{BA2F617E-2B34-4C5D-83BC-A5959CC729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4AC3BA-901C-4497-8296-5CB710338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2a2e0c-63df-4263-9e81-208bb09e6888"/>
    <ds:schemaRef ds:uri="fa35f671-df8d-4fa0-93d2-202b94b462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1334</Words>
  <Characters>7609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T Lyons Jr</dc:creator>
  <cp:keywords/>
  <dc:description/>
  <cp:lastModifiedBy>Katie Cerrone</cp:lastModifiedBy>
  <cp:revision>2</cp:revision>
  <cp:lastPrinted>2023-01-11T17:53:00Z</cp:lastPrinted>
  <dcterms:created xsi:type="dcterms:W3CDTF">2025-07-09T16:30:00Z</dcterms:created>
  <dcterms:modified xsi:type="dcterms:W3CDTF">2025-07-09T16:30:00Z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0x01010001F29C723636EB409413656172C412CD</vt:lpwstr>
  </property>
</Properties>
</file>