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1F" w:rsidRDefault="005C78BB">
      <w:pPr>
        <w:pStyle w:val="Heading1"/>
        <w:rPr>
          <w:rFonts w:ascii="Times New Roman" w:hAnsi="Times New Roman"/>
          <w:sz w:val="22"/>
          <w:szCs w:val="22"/>
        </w:rPr>
      </w:pPr>
      <w:r w:rsidRPr="003836CC">
        <w:rPr>
          <w:rFonts w:ascii="Times New Roman" w:hAnsi="Times New Roman"/>
          <w:sz w:val="22"/>
          <w:szCs w:val="22"/>
        </w:rPr>
        <w:t>Delta Omega Sigma Theta Tau</w:t>
      </w:r>
    </w:p>
    <w:p w:rsidR="0036290B" w:rsidRPr="0036290B" w:rsidRDefault="0036290B" w:rsidP="0036290B">
      <w:pPr>
        <w:jc w:val="center"/>
        <w:rPr>
          <w:b/>
        </w:rPr>
      </w:pPr>
      <w:r w:rsidRPr="0036290B">
        <w:rPr>
          <w:b/>
        </w:rPr>
        <w:t xml:space="preserve">Monthly </w:t>
      </w:r>
      <w:r w:rsidR="00EC7D73">
        <w:rPr>
          <w:b/>
        </w:rPr>
        <w:t xml:space="preserve">Board </w:t>
      </w:r>
      <w:r w:rsidRPr="0036290B">
        <w:rPr>
          <w:b/>
        </w:rPr>
        <w:t>Meeting Minutes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937"/>
        <w:gridCol w:w="7650"/>
        <w:gridCol w:w="2993"/>
        <w:gridCol w:w="18"/>
      </w:tblGrid>
      <w:tr w:rsidR="00293D1F" w:rsidRPr="003836CC" w:rsidTr="005C78BB">
        <w:trPr>
          <w:gridBefore w:val="1"/>
          <w:gridAfter w:val="1"/>
          <w:wBefore w:w="18" w:type="dxa"/>
          <w:wAfter w:w="18" w:type="dxa"/>
          <w:trHeight w:val="570"/>
        </w:trPr>
        <w:tc>
          <w:tcPr>
            <w:tcW w:w="14580" w:type="dxa"/>
            <w:gridSpan w:val="3"/>
          </w:tcPr>
          <w:p w:rsidR="00293D1F" w:rsidRPr="003836CC" w:rsidRDefault="00293D1F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3836CC">
              <w:rPr>
                <w:rFonts w:ascii="Times New Roman" w:hAnsi="Times New Roman"/>
                <w:sz w:val="22"/>
                <w:szCs w:val="22"/>
                <w:u w:val="none"/>
              </w:rPr>
              <w:t>DATE:</w:t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 xml:space="preserve">  </w:t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ab/>
            </w:r>
            <w:r w:rsidR="003C252A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8/28/17</w:t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ab/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ab/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ab/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ab/>
            </w:r>
            <w:r w:rsidRPr="003836CC">
              <w:rPr>
                <w:rFonts w:ascii="Times New Roman" w:hAnsi="Times New Roman"/>
                <w:sz w:val="22"/>
                <w:szCs w:val="22"/>
                <w:u w:val="none"/>
              </w:rPr>
              <w:t xml:space="preserve">TIME: </w:t>
            </w:r>
            <w:r w:rsidR="003C252A" w:rsidRPr="003C252A">
              <w:rPr>
                <w:rFonts w:ascii="Times New Roman" w:hAnsi="Times New Roman"/>
                <w:b w:val="0"/>
                <w:sz w:val="22"/>
                <w:szCs w:val="22"/>
              </w:rPr>
              <w:t>5:</w:t>
            </w:r>
            <w:r w:rsidR="00EC7D73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3C252A" w:rsidRPr="003C252A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 w:rsidRPr="003C252A">
              <w:rPr>
                <w:rFonts w:ascii="Times New Roman" w:hAnsi="Times New Roman"/>
                <w:b w:val="0"/>
                <w:sz w:val="22"/>
                <w:szCs w:val="22"/>
              </w:rPr>
              <w:t>_</w:t>
            </w:r>
            <w:r w:rsidRPr="003836CC">
              <w:rPr>
                <w:rFonts w:ascii="Times New Roman" w:hAnsi="Times New Roman"/>
                <w:sz w:val="22"/>
                <w:szCs w:val="22"/>
                <w:u w:val="none"/>
              </w:rPr>
              <w:t xml:space="preserve">TO: </w:t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_</w:t>
            </w:r>
            <w:r w:rsidR="007B6C75" w:rsidRPr="007B6C75">
              <w:rPr>
                <w:rFonts w:ascii="Times New Roman" w:hAnsi="Times New Roman"/>
                <w:b w:val="0"/>
                <w:bCs/>
                <w:sz w:val="22"/>
                <w:szCs w:val="22"/>
              </w:rPr>
              <w:t>7:00 p.m</w:t>
            </w:r>
            <w:r w:rsidR="007B6C75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.</w:t>
            </w:r>
            <w:r w:rsidRPr="003836CC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__</w:t>
            </w:r>
          </w:p>
          <w:p w:rsidR="00293D1F" w:rsidRPr="003836CC" w:rsidRDefault="00293D1F">
            <w:pPr>
              <w:rPr>
                <w:b/>
                <w:sz w:val="22"/>
                <w:szCs w:val="22"/>
              </w:rPr>
            </w:pPr>
          </w:p>
          <w:p w:rsidR="00293D1F" w:rsidRDefault="00293D1F" w:rsidP="003836CC">
            <w:pPr>
              <w:rPr>
                <w:sz w:val="22"/>
                <w:szCs w:val="22"/>
              </w:rPr>
            </w:pPr>
            <w:r w:rsidRPr="003836CC">
              <w:rPr>
                <w:b/>
                <w:sz w:val="22"/>
                <w:szCs w:val="22"/>
              </w:rPr>
              <w:t>Members</w:t>
            </w:r>
            <w:r w:rsidR="003836CC">
              <w:rPr>
                <w:b/>
                <w:sz w:val="22"/>
                <w:szCs w:val="22"/>
              </w:rPr>
              <w:t xml:space="preserve"> present:</w:t>
            </w:r>
            <w:r w:rsidR="00EE2E28">
              <w:rPr>
                <w:b/>
                <w:sz w:val="22"/>
                <w:szCs w:val="22"/>
              </w:rPr>
              <w:t xml:space="preserve">  </w:t>
            </w:r>
            <w:r w:rsidR="00EE2E28">
              <w:rPr>
                <w:sz w:val="22"/>
                <w:szCs w:val="22"/>
              </w:rPr>
              <w:t>Aris Eliades, Dina Dornack, Ashley Capestrain, Emily Ferstler, Larissa Bair, Diane Lorenzen, Sheryl Stuck, Linda Shanks, Eileen Fleming, Barb Brunt, Laurie Clik, Diane Brown, Marilyn Perkowski, Lori Kidd.</w:t>
            </w:r>
          </w:p>
          <w:p w:rsidR="00293D1F" w:rsidRPr="003836CC" w:rsidRDefault="00EE2E28" w:rsidP="00EE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Excused: </w:t>
            </w:r>
            <w:r w:rsidR="00E26EF5">
              <w:rPr>
                <w:sz w:val="22"/>
                <w:szCs w:val="22"/>
              </w:rPr>
              <w:t>Valerie Grant</w:t>
            </w:r>
          </w:p>
        </w:tc>
      </w:tr>
      <w:tr w:rsidR="00293D1F" w:rsidRPr="003836CC" w:rsidTr="005C78BB">
        <w:trPr>
          <w:gridBefore w:val="1"/>
          <w:gridAfter w:val="1"/>
          <w:wBefore w:w="18" w:type="dxa"/>
          <w:wAfter w:w="18" w:type="dxa"/>
          <w:trHeight w:val="280"/>
        </w:trPr>
        <w:tc>
          <w:tcPr>
            <w:tcW w:w="14580" w:type="dxa"/>
            <w:gridSpan w:val="3"/>
          </w:tcPr>
          <w:p w:rsidR="00293D1F" w:rsidRPr="003836CC" w:rsidRDefault="00293D1F" w:rsidP="00880A14">
            <w:pPr>
              <w:rPr>
                <w:bCs/>
                <w:sz w:val="22"/>
                <w:szCs w:val="22"/>
              </w:rPr>
            </w:pPr>
            <w:r w:rsidRPr="003836CC">
              <w:rPr>
                <w:bCs/>
                <w:sz w:val="22"/>
                <w:szCs w:val="22"/>
              </w:rPr>
              <w:t xml:space="preserve"> </w:t>
            </w:r>
            <w:r w:rsidR="00EC7D73">
              <w:rPr>
                <w:bCs/>
                <w:sz w:val="22"/>
                <w:szCs w:val="22"/>
              </w:rPr>
              <w:t>Minutes approv</w:t>
            </w:r>
            <w:r w:rsidR="00880A14">
              <w:rPr>
                <w:bCs/>
                <w:sz w:val="22"/>
                <w:szCs w:val="22"/>
              </w:rPr>
              <w:t>ed</w:t>
            </w:r>
            <w:r w:rsidR="00EC7D73">
              <w:rPr>
                <w:bCs/>
                <w:sz w:val="22"/>
                <w:szCs w:val="22"/>
              </w:rPr>
              <w:t xml:space="preserve"> from 6/2</w:t>
            </w:r>
            <w:r w:rsidR="00880A14">
              <w:rPr>
                <w:bCs/>
                <w:sz w:val="22"/>
                <w:szCs w:val="22"/>
              </w:rPr>
              <w:t>6</w:t>
            </w:r>
            <w:r w:rsidR="00EC7D73">
              <w:rPr>
                <w:bCs/>
                <w:sz w:val="22"/>
                <w:szCs w:val="22"/>
              </w:rPr>
              <w:t>/17</w:t>
            </w:r>
            <w:r w:rsidR="00880A14">
              <w:rPr>
                <w:bCs/>
                <w:sz w:val="22"/>
                <w:szCs w:val="22"/>
              </w:rPr>
              <w:t xml:space="preserve"> board meeting</w:t>
            </w:r>
          </w:p>
        </w:tc>
      </w:tr>
      <w:tr w:rsidR="00293D1F" w:rsidRPr="003836CC" w:rsidTr="00FA3C64"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93D1F" w:rsidRPr="003836CC" w:rsidRDefault="00293D1F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3836CC">
              <w:rPr>
                <w:rFonts w:ascii="Times New Roman" w:hAnsi="Times New Roman"/>
                <w:sz w:val="22"/>
                <w:szCs w:val="22"/>
              </w:rPr>
              <w:t>TOPIC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CCCCCC"/>
          </w:tcPr>
          <w:p w:rsidR="00293D1F" w:rsidRPr="003836CC" w:rsidRDefault="00293D1F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3836CC">
              <w:rPr>
                <w:rFonts w:ascii="Times New Roman" w:hAnsi="Times New Roman"/>
                <w:sz w:val="22"/>
                <w:szCs w:val="22"/>
              </w:rPr>
              <w:t>DISCUSSION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93D1F" w:rsidRPr="003836CC" w:rsidRDefault="00293D1F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3836CC">
              <w:rPr>
                <w:rFonts w:ascii="Times New Roman" w:hAnsi="Times New Roman"/>
                <w:sz w:val="22"/>
                <w:szCs w:val="22"/>
              </w:rPr>
              <w:t>ACTION</w:t>
            </w:r>
          </w:p>
        </w:tc>
      </w:tr>
      <w:tr w:rsidR="00293D1F" w:rsidRPr="003836CC" w:rsidTr="00FA3C64">
        <w:trPr>
          <w:trHeight w:val="386"/>
        </w:trPr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D1F" w:rsidRPr="003836CC" w:rsidRDefault="005C78BB" w:rsidP="003836CC">
            <w:pPr>
              <w:pStyle w:val="ListParagraph"/>
              <w:numPr>
                <w:ilvl w:val="0"/>
                <w:numId w:val="14"/>
              </w:numPr>
              <w:tabs>
                <w:tab w:val="num" w:pos="450"/>
              </w:tabs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Call to order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D1F" w:rsidRPr="003836CC" w:rsidRDefault="00EC7D73" w:rsidP="002E2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Aris called </w:t>
            </w:r>
            <w:r w:rsidR="00880A14">
              <w:rPr>
                <w:sz w:val="22"/>
                <w:szCs w:val="22"/>
              </w:rPr>
              <w:t xml:space="preserve">the meeting </w:t>
            </w:r>
            <w:r>
              <w:rPr>
                <w:sz w:val="22"/>
                <w:szCs w:val="22"/>
              </w:rPr>
              <w:t xml:space="preserve">to order 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D1F" w:rsidRPr="003836CC" w:rsidRDefault="00293D1F">
            <w:pPr>
              <w:rPr>
                <w:sz w:val="22"/>
                <w:szCs w:val="22"/>
              </w:rPr>
            </w:pPr>
          </w:p>
        </w:tc>
      </w:tr>
      <w:tr w:rsidR="002E25C4" w:rsidRPr="003836CC" w:rsidTr="00FA3C64">
        <w:trPr>
          <w:trHeight w:val="386"/>
        </w:trPr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5C4" w:rsidRPr="003836CC" w:rsidRDefault="002E25C4" w:rsidP="003836CC">
            <w:pPr>
              <w:pStyle w:val="ListParagraph"/>
              <w:numPr>
                <w:ilvl w:val="0"/>
                <w:numId w:val="14"/>
              </w:numPr>
              <w:tabs>
                <w:tab w:val="num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Introductions and Welcome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5C4" w:rsidRDefault="002E25C4" w:rsidP="00EC7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Introductions of all attendees was shared.  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5C4" w:rsidRPr="003836CC" w:rsidRDefault="002E25C4">
            <w:pPr>
              <w:rPr>
                <w:sz w:val="22"/>
                <w:szCs w:val="22"/>
              </w:rPr>
            </w:pPr>
          </w:p>
        </w:tc>
      </w:tr>
      <w:tr w:rsidR="003836CC" w:rsidRPr="003836CC" w:rsidTr="00FA3C64">
        <w:trPr>
          <w:trHeight w:val="386"/>
        </w:trPr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6CC" w:rsidRPr="003836CC" w:rsidRDefault="003836CC" w:rsidP="003836CC">
            <w:pPr>
              <w:pStyle w:val="ListParagraph"/>
              <w:numPr>
                <w:ilvl w:val="0"/>
                <w:numId w:val="14"/>
              </w:numPr>
              <w:tabs>
                <w:tab w:val="num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Minute approval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6CC" w:rsidRPr="003836CC" w:rsidRDefault="00EC7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Corrections made </w:t>
            </w:r>
            <w:r w:rsidR="00880A14">
              <w:rPr>
                <w:sz w:val="22"/>
                <w:szCs w:val="22"/>
              </w:rPr>
              <w:t xml:space="preserve">to 6/26/17 minutes </w:t>
            </w:r>
            <w:r>
              <w:rPr>
                <w:sz w:val="22"/>
                <w:szCs w:val="22"/>
              </w:rPr>
              <w:t xml:space="preserve">regarding installed officers.  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6CC" w:rsidRPr="003836CC" w:rsidRDefault="00193E4E" w:rsidP="00193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Motions to approve with corrections from </w:t>
            </w:r>
            <w:r w:rsidR="00EC7D73">
              <w:rPr>
                <w:sz w:val="22"/>
                <w:szCs w:val="22"/>
              </w:rPr>
              <w:t xml:space="preserve">D. Lorenzen </w:t>
            </w:r>
            <w:r>
              <w:rPr>
                <w:sz w:val="22"/>
                <w:szCs w:val="22"/>
              </w:rPr>
              <w:t>and</w:t>
            </w:r>
            <w:r w:rsidR="00EC7D73">
              <w:rPr>
                <w:sz w:val="22"/>
                <w:szCs w:val="22"/>
              </w:rPr>
              <w:t xml:space="preserve"> M. Perkowski.  Motion carried.  </w:t>
            </w:r>
          </w:p>
        </w:tc>
      </w:tr>
      <w:tr w:rsidR="00FF21CC" w:rsidRPr="003836CC" w:rsidTr="00FA3C64"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1CC" w:rsidRPr="003836CC" w:rsidRDefault="003836CC" w:rsidP="002E25C4">
            <w:pPr>
              <w:tabs>
                <w:tab w:val="num" w:pos="450"/>
              </w:tabs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E25C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. </w:t>
            </w:r>
            <w:r w:rsidR="005C78BB" w:rsidRPr="003836CC">
              <w:rPr>
                <w:sz w:val="22"/>
                <w:szCs w:val="22"/>
              </w:rPr>
              <w:t>Treasurer’s Report</w:t>
            </w:r>
            <w:r w:rsidR="00EC7D73">
              <w:rPr>
                <w:sz w:val="22"/>
                <w:szCs w:val="22"/>
              </w:rPr>
              <w:t>- Laurel Celik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277" w:rsidRPr="003836CC" w:rsidRDefault="003A1277" w:rsidP="00963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documents shared.  Wording change from scholarships to professional development grants to align with recent STT</w:t>
            </w:r>
            <w:r w:rsidR="00880A1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9631E3">
              <w:rPr>
                <w:sz w:val="22"/>
                <w:szCs w:val="22"/>
              </w:rPr>
              <w:t>guidance when sending individual</w:t>
            </w:r>
            <w:r w:rsidR="00880A14">
              <w:rPr>
                <w:sz w:val="22"/>
                <w:szCs w:val="22"/>
              </w:rPr>
              <w:t xml:space="preserve"> professional</w:t>
            </w:r>
            <w:r w:rsidR="009631E3">
              <w:rPr>
                <w:sz w:val="22"/>
                <w:szCs w:val="22"/>
              </w:rPr>
              <w:t xml:space="preserve">s to conferences.  Scholarships refer to student support. 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1CC" w:rsidRPr="003836CC" w:rsidRDefault="00FF21CC">
            <w:pPr>
              <w:rPr>
                <w:sz w:val="22"/>
                <w:szCs w:val="22"/>
              </w:rPr>
            </w:pPr>
          </w:p>
        </w:tc>
      </w:tr>
      <w:tr w:rsidR="003836CC" w:rsidRPr="003836CC" w:rsidTr="00FA3C64"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6CC" w:rsidRPr="003836CC" w:rsidRDefault="003836CC">
            <w:pPr>
              <w:tabs>
                <w:tab w:val="num" w:pos="450"/>
              </w:tabs>
              <w:ind w:left="90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6CC" w:rsidRPr="003836CC" w:rsidRDefault="003836CC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6CC" w:rsidRPr="003836CC" w:rsidRDefault="003836CC">
            <w:pPr>
              <w:rPr>
                <w:sz w:val="22"/>
                <w:szCs w:val="22"/>
              </w:rPr>
            </w:pPr>
          </w:p>
        </w:tc>
      </w:tr>
      <w:tr w:rsidR="00FF21CC" w:rsidRPr="003836CC" w:rsidTr="00FA3C64"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1CC" w:rsidRPr="003836CC" w:rsidRDefault="003836CC">
            <w:pPr>
              <w:tabs>
                <w:tab w:val="num" w:pos="450"/>
              </w:tabs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 </w:t>
            </w:r>
            <w:r w:rsidR="005C78BB" w:rsidRPr="003836CC">
              <w:rPr>
                <w:sz w:val="22"/>
                <w:szCs w:val="22"/>
              </w:rPr>
              <w:t>Committee Reports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1CC" w:rsidRPr="003836CC" w:rsidRDefault="00FF21CC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1CC" w:rsidRPr="003836CC" w:rsidRDefault="00FF21CC">
            <w:pPr>
              <w:rPr>
                <w:sz w:val="22"/>
                <w:szCs w:val="22"/>
              </w:rPr>
            </w:pPr>
          </w:p>
        </w:tc>
      </w:tr>
      <w:tr w:rsidR="00FF21CC" w:rsidRPr="003836CC" w:rsidTr="00FA3C64"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1CC" w:rsidRPr="003836CC" w:rsidRDefault="005C78BB" w:rsidP="003A1277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Research gran</w:t>
            </w:r>
            <w:r w:rsidR="003A1277">
              <w:rPr>
                <w:sz w:val="22"/>
                <w:szCs w:val="22"/>
              </w:rPr>
              <w:t>ts and recognition –Barb Brunt</w:t>
            </w:r>
            <w:r w:rsidR="009631E3">
              <w:rPr>
                <w:sz w:val="22"/>
                <w:szCs w:val="22"/>
              </w:rPr>
              <w:t xml:space="preserve"> and Marlene Huff.  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1CC" w:rsidRPr="003836CC" w:rsidRDefault="009631E3" w:rsidP="0088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sent for research applications</w:t>
            </w:r>
            <w:r w:rsidR="00880A14">
              <w:rPr>
                <w:sz w:val="22"/>
                <w:szCs w:val="22"/>
              </w:rPr>
              <w:t xml:space="preserve">; deadlines for this year are </w:t>
            </w:r>
            <w:r>
              <w:rPr>
                <w:sz w:val="22"/>
                <w:szCs w:val="22"/>
              </w:rPr>
              <w:t>September 15 and February 15</w:t>
            </w:r>
            <w:r w:rsidRPr="009631E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.  Research and EBP projects are </w:t>
            </w:r>
            <w:r w:rsidR="00880A14">
              <w:rPr>
                <w:sz w:val="22"/>
                <w:szCs w:val="22"/>
              </w:rPr>
              <w:t>acceptable</w:t>
            </w:r>
            <w:r>
              <w:rPr>
                <w:sz w:val="22"/>
                <w:szCs w:val="22"/>
              </w:rPr>
              <w:t xml:space="preserve">.  There are nine members of the research committee to review applications, and Barb will confirm their continued interest in serving.    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1CC" w:rsidRPr="003836CC" w:rsidRDefault="00FF21CC">
            <w:pPr>
              <w:rPr>
                <w:sz w:val="22"/>
                <w:szCs w:val="22"/>
              </w:rPr>
            </w:pPr>
          </w:p>
        </w:tc>
      </w:tr>
      <w:tr w:rsidR="00FF21CC" w:rsidRPr="003836CC" w:rsidTr="00FA3C64"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1CC" w:rsidRPr="003836CC" w:rsidRDefault="005C78BB" w:rsidP="003836CC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Membership – Lori Kidd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439" w:rsidRDefault="00963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new report</w:t>
            </w:r>
            <w:r w:rsidR="00880A14">
              <w:rPr>
                <w:sz w:val="22"/>
                <w:szCs w:val="22"/>
              </w:rPr>
              <w:t>; concerns over declining membership</w:t>
            </w:r>
            <w:r>
              <w:rPr>
                <w:sz w:val="22"/>
                <w:szCs w:val="22"/>
              </w:rPr>
              <w:t xml:space="preserve">.  Barb shared samples of surveys that can be used for members that did not renew.  Discussion </w:t>
            </w:r>
            <w:r w:rsidR="00880A14">
              <w:rPr>
                <w:sz w:val="22"/>
                <w:szCs w:val="22"/>
              </w:rPr>
              <w:t xml:space="preserve">followed </w:t>
            </w:r>
            <w:r>
              <w:rPr>
                <w:sz w:val="22"/>
                <w:szCs w:val="22"/>
              </w:rPr>
              <w:t xml:space="preserve">on how to increase membership.  Barriers identified were other competing interests, </w:t>
            </w:r>
            <w:r w:rsidR="00880A14">
              <w:rPr>
                <w:sz w:val="22"/>
                <w:szCs w:val="22"/>
              </w:rPr>
              <w:t xml:space="preserve">loss of </w:t>
            </w:r>
            <w:r w:rsidR="00A41439">
              <w:rPr>
                <w:sz w:val="22"/>
                <w:szCs w:val="22"/>
              </w:rPr>
              <w:t>student email</w:t>
            </w:r>
            <w:r w:rsidR="00880A14">
              <w:rPr>
                <w:sz w:val="22"/>
                <w:szCs w:val="22"/>
              </w:rPr>
              <w:t xml:space="preserve"> access</w:t>
            </w:r>
            <w:r w:rsidR="00A41439">
              <w:rPr>
                <w:sz w:val="22"/>
                <w:szCs w:val="22"/>
              </w:rPr>
              <w:t xml:space="preserve"> after graduation, lack of active involvement.  Eileen pointed out free CEs can be used to recruit.  Students need multiple information points to share “what is in it for them” r/t free CE, community service, leadership development, etc.  </w:t>
            </w:r>
          </w:p>
          <w:p w:rsidR="00FF21CC" w:rsidRPr="003836CC" w:rsidRDefault="00A41439" w:rsidP="0088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Aris suggested expanding efforts to a subcommittee level, using </w:t>
            </w:r>
            <w:r w:rsidR="001E445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ocial media to promote membership, </w:t>
            </w:r>
            <w:r w:rsidR="00880A14">
              <w:rPr>
                <w:sz w:val="22"/>
                <w:szCs w:val="22"/>
              </w:rPr>
              <w:t>including</w:t>
            </w:r>
            <w:r w:rsidR="001E4450">
              <w:rPr>
                <w:sz w:val="22"/>
                <w:szCs w:val="22"/>
              </w:rPr>
              <w:t xml:space="preserve"> activities that don’t </w:t>
            </w:r>
            <w:r w:rsidR="00880A14">
              <w:rPr>
                <w:sz w:val="22"/>
                <w:szCs w:val="22"/>
              </w:rPr>
              <w:t xml:space="preserve">have to </w:t>
            </w:r>
            <w:r w:rsidR="001E4450">
              <w:rPr>
                <w:sz w:val="22"/>
                <w:szCs w:val="22"/>
              </w:rPr>
              <w:t>relate to professional learning, but networking.  Larissa suggested a table at a UA career fair.  Ashley suggested asking new inductees</w:t>
            </w:r>
            <w:r w:rsidR="00A67784">
              <w:rPr>
                <w:sz w:val="22"/>
                <w:szCs w:val="22"/>
              </w:rPr>
              <w:t xml:space="preserve"> to “like” the Facebook page at the ceremony.  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1CC" w:rsidRPr="003836CC" w:rsidRDefault="00FF21CC">
            <w:pPr>
              <w:rPr>
                <w:sz w:val="22"/>
                <w:szCs w:val="22"/>
              </w:rPr>
            </w:pPr>
          </w:p>
        </w:tc>
      </w:tr>
      <w:tr w:rsidR="00FF21CC" w:rsidRPr="003836CC" w:rsidTr="00FA3C64"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1CC" w:rsidRPr="003836CC" w:rsidRDefault="005C78BB" w:rsidP="003A1277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 xml:space="preserve">Program – </w:t>
            </w:r>
            <w:r w:rsidR="00EC7D73">
              <w:rPr>
                <w:sz w:val="22"/>
                <w:szCs w:val="22"/>
              </w:rPr>
              <w:t>Dina Dornack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1CC" w:rsidRPr="003836CC" w:rsidRDefault="00A67784" w:rsidP="00EE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Suggested topic for CE program on human trafficking.  Rob Portman is a leader in our state regarding this topic and could be consulted.  Possible plans for November date—following biennium and Cameos.  Eileen will collaborate with Dina.  </w:t>
            </w:r>
            <w:r w:rsidR="002E25C4">
              <w:rPr>
                <w:sz w:val="22"/>
                <w:szCs w:val="22"/>
              </w:rPr>
              <w:t xml:space="preserve">Members agreed an evening program would be best for scheduling.  Can be non-education events to meet </w:t>
            </w:r>
            <w:r w:rsidR="00880A14">
              <w:rPr>
                <w:sz w:val="22"/>
                <w:szCs w:val="22"/>
              </w:rPr>
              <w:t xml:space="preserve">Chapter </w:t>
            </w:r>
            <w:r w:rsidR="002E25C4">
              <w:rPr>
                <w:sz w:val="22"/>
                <w:szCs w:val="22"/>
              </w:rPr>
              <w:t xml:space="preserve">Key criteria.  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1CC" w:rsidRPr="003836CC" w:rsidRDefault="00FF21CC">
            <w:pPr>
              <w:rPr>
                <w:sz w:val="22"/>
                <w:szCs w:val="22"/>
              </w:rPr>
            </w:pPr>
          </w:p>
        </w:tc>
      </w:tr>
      <w:tr w:rsidR="00FF21CC" w:rsidRPr="003836CC" w:rsidTr="00FA3C64"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1CC" w:rsidRPr="003836CC" w:rsidRDefault="005C78BB" w:rsidP="003A1277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 xml:space="preserve">Governance – </w:t>
            </w:r>
            <w:r w:rsidR="003A1277">
              <w:rPr>
                <w:sz w:val="22"/>
                <w:szCs w:val="22"/>
              </w:rPr>
              <w:t>Marilyn Perkowski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1CC" w:rsidRPr="003836CC" w:rsidRDefault="002E2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report.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1CC" w:rsidRPr="003836CC" w:rsidRDefault="00FF21CC">
            <w:pPr>
              <w:rPr>
                <w:sz w:val="22"/>
                <w:szCs w:val="22"/>
              </w:rPr>
            </w:pPr>
          </w:p>
        </w:tc>
      </w:tr>
      <w:tr w:rsidR="00FF21CC" w:rsidRPr="003836CC" w:rsidTr="00FA3C64"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1CC" w:rsidRPr="003836CC" w:rsidRDefault="005C78BB" w:rsidP="003836CC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Finance – Laurie Celik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1CC" w:rsidRDefault="003A1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 giving will be $389 this year, lower this year due to decreasing active membership.  </w:t>
            </w:r>
          </w:p>
          <w:p w:rsidR="003A1277" w:rsidRDefault="003A1277">
            <w:pPr>
              <w:rPr>
                <w:sz w:val="22"/>
                <w:szCs w:val="22"/>
              </w:rPr>
            </w:pPr>
          </w:p>
          <w:p w:rsidR="003A1277" w:rsidRDefault="003A1277">
            <w:pPr>
              <w:rPr>
                <w:sz w:val="22"/>
                <w:szCs w:val="22"/>
              </w:rPr>
            </w:pPr>
          </w:p>
          <w:p w:rsidR="003A1277" w:rsidRDefault="003A1277" w:rsidP="003A1277">
            <w:pPr>
              <w:rPr>
                <w:sz w:val="22"/>
                <w:szCs w:val="22"/>
              </w:rPr>
            </w:pPr>
          </w:p>
          <w:p w:rsidR="009631E3" w:rsidRDefault="009631E3" w:rsidP="003A1277">
            <w:pPr>
              <w:rPr>
                <w:sz w:val="22"/>
                <w:szCs w:val="22"/>
              </w:rPr>
            </w:pPr>
          </w:p>
          <w:p w:rsidR="003A1277" w:rsidRDefault="003A1277" w:rsidP="003A1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Audit: B. Brunt conducted an audit from July 1, 2016– June 30, 2017.  </w:t>
            </w:r>
          </w:p>
          <w:p w:rsidR="003A1277" w:rsidRDefault="003A1277" w:rsidP="003A1277">
            <w:pPr>
              <w:rPr>
                <w:sz w:val="22"/>
                <w:szCs w:val="22"/>
              </w:rPr>
            </w:pPr>
          </w:p>
          <w:p w:rsidR="003A1277" w:rsidRDefault="003A1277" w:rsidP="003A1277">
            <w:pPr>
              <w:rPr>
                <w:sz w:val="22"/>
                <w:szCs w:val="22"/>
              </w:rPr>
            </w:pPr>
          </w:p>
          <w:p w:rsidR="003A1277" w:rsidRPr="003836CC" w:rsidRDefault="003A1277" w:rsidP="00AF2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Laurie </w:t>
            </w:r>
            <w:r w:rsidR="00AF2DEC">
              <w:rPr>
                <w:sz w:val="22"/>
                <w:szCs w:val="22"/>
              </w:rPr>
              <w:t xml:space="preserve">will nominate chapter for </w:t>
            </w:r>
            <w:r>
              <w:rPr>
                <w:sz w:val="22"/>
                <w:szCs w:val="22"/>
              </w:rPr>
              <w:t>Regional Showcase for Excellence</w:t>
            </w:r>
            <w:r w:rsidR="00AF2DEC">
              <w:rPr>
                <w:sz w:val="22"/>
                <w:szCs w:val="22"/>
              </w:rPr>
              <w:t xml:space="preserve"> in philanthropy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277" w:rsidRDefault="003A1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Motion </w:t>
            </w:r>
            <w:r w:rsidR="009631E3">
              <w:rPr>
                <w:sz w:val="22"/>
                <w:szCs w:val="22"/>
              </w:rPr>
              <w:t xml:space="preserve">by Laurel </w:t>
            </w:r>
            <w:r>
              <w:rPr>
                <w:sz w:val="22"/>
                <w:szCs w:val="22"/>
              </w:rPr>
              <w:t>to continue giving through STT</w:t>
            </w:r>
            <w:r w:rsidR="00AF2DEC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as a </w:t>
            </w:r>
            <w:r>
              <w:rPr>
                <w:sz w:val="22"/>
                <w:szCs w:val="22"/>
              </w:rPr>
              <w:lastRenderedPageBreak/>
              <w:t xml:space="preserve">chapter.  Second by E. Fleming.  Motion carried. </w:t>
            </w:r>
          </w:p>
          <w:p w:rsidR="00FF21CC" w:rsidRDefault="00FF21CC">
            <w:pPr>
              <w:rPr>
                <w:sz w:val="22"/>
                <w:szCs w:val="22"/>
              </w:rPr>
            </w:pPr>
          </w:p>
          <w:p w:rsidR="003A1277" w:rsidRPr="003836CC" w:rsidRDefault="003A1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to accept the results of the audit: Kidd, </w:t>
            </w:r>
            <w:r w:rsidR="00880A14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Dornack.  Motion carried.  </w:t>
            </w:r>
          </w:p>
        </w:tc>
      </w:tr>
      <w:tr w:rsidR="00FF21CC" w:rsidRPr="003836CC" w:rsidTr="00FA3C64"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1CC" w:rsidRPr="003836CC" w:rsidRDefault="005C78BB" w:rsidP="003836CC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lastRenderedPageBreak/>
              <w:t xml:space="preserve"> Leadership Succession –Eileen Fleming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1CC" w:rsidRPr="003836CC" w:rsidRDefault="002E2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election results were shared.  Diane Lorenzen will take over with Tony Suncire.  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1CC" w:rsidRPr="003836CC" w:rsidRDefault="00FF21CC">
            <w:pPr>
              <w:rPr>
                <w:sz w:val="22"/>
                <w:szCs w:val="22"/>
              </w:rPr>
            </w:pPr>
          </w:p>
        </w:tc>
      </w:tr>
      <w:tr w:rsidR="00FF21CC" w:rsidRPr="003836CC" w:rsidTr="00FA3C64"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1CC" w:rsidRPr="003836CC" w:rsidRDefault="005C78BB" w:rsidP="009631E3">
            <w:pPr>
              <w:pStyle w:val="ListParagraph"/>
              <w:numPr>
                <w:ilvl w:val="0"/>
                <w:numId w:val="11"/>
              </w:numPr>
              <w:tabs>
                <w:tab w:val="left" w:pos="697"/>
              </w:tabs>
              <w:ind w:left="697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 xml:space="preserve">Newsletter – Ashley Capestrain, </w:t>
            </w:r>
            <w:r w:rsidR="002E25C4">
              <w:rPr>
                <w:sz w:val="22"/>
                <w:szCs w:val="22"/>
              </w:rPr>
              <w:t xml:space="preserve">Emily Ferstler, </w:t>
            </w:r>
            <w:r w:rsidR="009631E3">
              <w:rPr>
                <w:sz w:val="22"/>
                <w:szCs w:val="22"/>
              </w:rPr>
              <w:t>Carolyn Sutter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1CC" w:rsidRPr="003836CC" w:rsidRDefault="002E25C4" w:rsidP="0083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due in November.  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1CC" w:rsidRPr="003836CC" w:rsidRDefault="00FF21CC" w:rsidP="0083188E">
            <w:pPr>
              <w:rPr>
                <w:sz w:val="22"/>
                <w:szCs w:val="22"/>
              </w:rPr>
            </w:pPr>
          </w:p>
        </w:tc>
      </w:tr>
      <w:tr w:rsidR="005C78BB" w:rsidRPr="003836CC" w:rsidTr="00FA3C64">
        <w:trPr>
          <w:trHeight w:val="224"/>
        </w:trPr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8BB" w:rsidRPr="003836CC" w:rsidRDefault="005C78BB" w:rsidP="005C78BB">
            <w:pPr>
              <w:tabs>
                <w:tab w:val="num" w:pos="450"/>
                <w:tab w:val="left" w:pos="517"/>
              </w:tabs>
              <w:ind w:left="337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8BB" w:rsidRPr="003836CC" w:rsidRDefault="005C78BB" w:rsidP="005C78BB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8BB" w:rsidRPr="003836CC" w:rsidRDefault="005C78BB" w:rsidP="005C78BB">
            <w:pPr>
              <w:rPr>
                <w:sz w:val="22"/>
                <w:szCs w:val="22"/>
              </w:rPr>
            </w:pPr>
          </w:p>
        </w:tc>
      </w:tr>
      <w:tr w:rsidR="002E25C4" w:rsidRPr="003836CC" w:rsidTr="00FA3C64">
        <w:trPr>
          <w:trHeight w:val="224"/>
        </w:trPr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5C4" w:rsidRPr="003836CC" w:rsidRDefault="002E25C4" w:rsidP="002E25C4">
            <w:pPr>
              <w:tabs>
                <w:tab w:val="num" w:pos="450"/>
                <w:tab w:val="left" w:pos="5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Installation of Officers unable to attend June meeting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5C4" w:rsidRPr="003836CC" w:rsidRDefault="002E25C4" w:rsidP="005C7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Dina Dornack </w:t>
            </w:r>
            <w:r w:rsidR="00880A14">
              <w:rPr>
                <w:sz w:val="22"/>
                <w:szCs w:val="22"/>
              </w:rPr>
              <w:t xml:space="preserve">was installed as the first Vice President.  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5C4" w:rsidRPr="003836CC" w:rsidRDefault="002E25C4" w:rsidP="005C78BB">
            <w:pPr>
              <w:rPr>
                <w:sz w:val="22"/>
                <w:szCs w:val="22"/>
              </w:rPr>
            </w:pPr>
          </w:p>
        </w:tc>
      </w:tr>
      <w:tr w:rsidR="00193E4E" w:rsidRPr="003836CC" w:rsidTr="00FA3C64">
        <w:trPr>
          <w:trHeight w:val="224"/>
        </w:trPr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E4E" w:rsidRDefault="00193E4E" w:rsidP="002E25C4">
            <w:pPr>
              <w:tabs>
                <w:tab w:val="num" w:pos="450"/>
                <w:tab w:val="left" w:pos="517"/>
              </w:tabs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E4E" w:rsidRDefault="00193E4E" w:rsidP="005C78BB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E4E" w:rsidRPr="003836CC" w:rsidRDefault="00193E4E" w:rsidP="005C78BB">
            <w:pPr>
              <w:rPr>
                <w:sz w:val="22"/>
                <w:szCs w:val="22"/>
              </w:rPr>
            </w:pPr>
          </w:p>
        </w:tc>
      </w:tr>
      <w:tr w:rsidR="00FF21CC" w:rsidRPr="003836CC" w:rsidTr="00FA3C64"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1CC" w:rsidRPr="003836CC" w:rsidRDefault="003836CC" w:rsidP="0083188E">
            <w:pPr>
              <w:tabs>
                <w:tab w:val="num" w:pos="450"/>
              </w:tabs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 </w:t>
            </w:r>
            <w:r w:rsidR="005C78BB" w:rsidRPr="003836CC">
              <w:rPr>
                <w:sz w:val="22"/>
                <w:szCs w:val="22"/>
              </w:rPr>
              <w:t>Old Business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1CC" w:rsidRPr="003836CC" w:rsidRDefault="00FF21CC" w:rsidP="0083188E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1CC" w:rsidRPr="003836CC" w:rsidRDefault="00FF21CC" w:rsidP="0083188E">
            <w:pPr>
              <w:rPr>
                <w:sz w:val="22"/>
                <w:szCs w:val="22"/>
              </w:rPr>
            </w:pPr>
          </w:p>
        </w:tc>
      </w:tr>
      <w:tr w:rsidR="00FF21CC" w:rsidRPr="003836CC" w:rsidTr="00FA3C64"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1CC" w:rsidRPr="003836CC" w:rsidRDefault="007B6C75" w:rsidP="007B6C75">
            <w:pPr>
              <w:pStyle w:val="ListParagraph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</w:t>
            </w:r>
            <w:r w:rsidR="002E25C4" w:rsidRPr="003836CC">
              <w:rPr>
                <w:sz w:val="22"/>
                <w:szCs w:val="22"/>
              </w:rPr>
              <w:t xml:space="preserve">Chapter Key Award – 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1CC" w:rsidRPr="003836CC" w:rsidRDefault="00193E4E" w:rsidP="00193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Lorenzen will go; will need a replacement for Aris to go with Diane</w:t>
            </w:r>
            <w:r w:rsidR="007B6C75">
              <w:rPr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1CC" w:rsidRPr="003836CC" w:rsidRDefault="00FF21CC" w:rsidP="0083188E">
            <w:pPr>
              <w:rPr>
                <w:sz w:val="22"/>
                <w:szCs w:val="22"/>
              </w:rPr>
            </w:pPr>
          </w:p>
        </w:tc>
      </w:tr>
      <w:tr w:rsidR="00FF21CC" w:rsidRPr="003836CC" w:rsidTr="00FA3C64"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1CC" w:rsidRPr="003836CC" w:rsidRDefault="002E25C4" w:rsidP="005C78BB">
            <w:pPr>
              <w:pStyle w:val="ListParagraph"/>
              <w:numPr>
                <w:ilvl w:val="0"/>
                <w:numId w:val="12"/>
              </w:numPr>
              <w:tabs>
                <w:tab w:val="num" w:pos="697"/>
              </w:tabs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program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1CC" w:rsidRPr="003836CC" w:rsidRDefault="00193E4E" w:rsidP="0083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above report</w:t>
            </w:r>
            <w:r w:rsidR="00EE2E28">
              <w:rPr>
                <w:sz w:val="22"/>
                <w:szCs w:val="22"/>
              </w:rPr>
              <w:t xml:space="preserve"> (item V. c.)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1CC" w:rsidRPr="003836CC" w:rsidRDefault="00FF21CC" w:rsidP="0083188E">
            <w:pPr>
              <w:rPr>
                <w:sz w:val="22"/>
                <w:szCs w:val="22"/>
              </w:rPr>
            </w:pPr>
          </w:p>
        </w:tc>
      </w:tr>
      <w:tr w:rsidR="00FF21CC" w:rsidRPr="003836CC" w:rsidTr="00FA3C64"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1CC" w:rsidRPr="003836CC" w:rsidRDefault="002E25C4" w:rsidP="005C78BB">
            <w:pPr>
              <w:pStyle w:val="ListParagraph"/>
              <w:numPr>
                <w:ilvl w:val="0"/>
                <w:numId w:val="12"/>
              </w:numPr>
              <w:tabs>
                <w:tab w:val="num" w:pos="450"/>
              </w:tabs>
              <w:ind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VIP Profile update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1CC" w:rsidRPr="003836CC" w:rsidRDefault="00EE2E28" w:rsidP="00193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93E4E">
              <w:rPr>
                <w:sz w:val="22"/>
                <w:szCs w:val="22"/>
              </w:rPr>
              <w:t xml:space="preserve">embers are encouraged to go to the website to update their VIP profile (Volunteer Connect).  This will support our chapter recognition.  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1CC" w:rsidRPr="003836CC" w:rsidRDefault="00FF21CC" w:rsidP="0083188E">
            <w:pPr>
              <w:rPr>
                <w:sz w:val="22"/>
                <w:szCs w:val="22"/>
              </w:rPr>
            </w:pPr>
          </w:p>
        </w:tc>
      </w:tr>
      <w:tr w:rsidR="00FF21CC" w:rsidRPr="003836CC" w:rsidTr="00FA3C64"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1CC" w:rsidRPr="003836CC" w:rsidRDefault="00193E4E" w:rsidP="005C78BB">
            <w:pPr>
              <w:pStyle w:val="ListParagraph"/>
              <w:numPr>
                <w:ilvl w:val="0"/>
                <w:numId w:val="12"/>
              </w:numPr>
              <w:tabs>
                <w:tab w:val="num" w:pos="450"/>
              </w:tabs>
              <w:ind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M hot lunch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1CC" w:rsidRDefault="00193E4E" w:rsidP="0083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Lorenzen reported our support of lunches for kids in July.  Program was discontinued for kids’ lunches</w:t>
            </w:r>
            <w:r w:rsidR="00EE2E28">
              <w:rPr>
                <w:sz w:val="22"/>
                <w:szCs w:val="22"/>
              </w:rPr>
              <w:t>, but adult meals will continue</w:t>
            </w:r>
            <w:r>
              <w:rPr>
                <w:sz w:val="22"/>
                <w:szCs w:val="22"/>
              </w:rPr>
              <w:t xml:space="preserve">.  </w:t>
            </w:r>
          </w:p>
          <w:p w:rsidR="00193E4E" w:rsidRDefault="00193E4E" w:rsidP="0083188E">
            <w:pPr>
              <w:rPr>
                <w:sz w:val="22"/>
                <w:szCs w:val="22"/>
              </w:rPr>
            </w:pPr>
          </w:p>
          <w:p w:rsidR="00193E4E" w:rsidRPr="003836CC" w:rsidRDefault="00193E4E" w:rsidP="0083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Dina suggested adoption for Christmas giving at Open M.  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1CC" w:rsidRDefault="00193E4E" w:rsidP="0083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Diane will check on dates for December and spring.  </w:t>
            </w:r>
          </w:p>
          <w:p w:rsidR="00193E4E" w:rsidRDefault="00193E4E" w:rsidP="0083188E">
            <w:pPr>
              <w:rPr>
                <w:sz w:val="22"/>
                <w:szCs w:val="22"/>
              </w:rPr>
            </w:pPr>
          </w:p>
          <w:p w:rsidR="00193E4E" w:rsidRPr="003836CC" w:rsidRDefault="00193E4E" w:rsidP="0083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Dina will check what is being requested for larger group/company giving.  </w:t>
            </w:r>
          </w:p>
        </w:tc>
      </w:tr>
      <w:tr w:rsidR="00FF21CC" w:rsidRPr="003836CC" w:rsidTr="00FA3C64"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1CC" w:rsidRPr="00193E4E" w:rsidRDefault="00193E4E" w:rsidP="00193E4E">
            <w:pPr>
              <w:pStyle w:val="ListParagraph"/>
              <w:numPr>
                <w:ilvl w:val="0"/>
                <w:numId w:val="12"/>
              </w:numPr>
              <w:tabs>
                <w:tab w:val="num" w:pos="450"/>
              </w:tabs>
              <w:ind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Assignments and committees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1CC" w:rsidRDefault="007B6C75" w:rsidP="0083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and membership committee will be formed.  Induction committee when spring gets closer.  </w:t>
            </w:r>
          </w:p>
          <w:p w:rsidR="007B6C75" w:rsidRPr="003836CC" w:rsidRDefault="007B6C75" w:rsidP="00EE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Dina will cover for Aris over next few months while </w:t>
            </w:r>
            <w:r w:rsidR="00EE2E28">
              <w:rPr>
                <w:sz w:val="22"/>
                <w:szCs w:val="22"/>
              </w:rPr>
              <w:t>on a</w:t>
            </w:r>
            <w:r>
              <w:rPr>
                <w:sz w:val="22"/>
                <w:szCs w:val="22"/>
              </w:rPr>
              <w:t xml:space="preserve"> health</w:t>
            </w:r>
            <w:r w:rsidR="00EE2E28">
              <w:rPr>
                <w:sz w:val="22"/>
                <w:szCs w:val="22"/>
              </w:rPr>
              <w:t xml:space="preserve">care leave.  </w:t>
            </w:r>
            <w:r>
              <w:rPr>
                <w:sz w:val="22"/>
                <w:szCs w:val="22"/>
              </w:rPr>
              <w:t xml:space="preserve">  Request </w:t>
            </w:r>
            <w:r w:rsidR="00EE2E28">
              <w:rPr>
                <w:sz w:val="22"/>
                <w:szCs w:val="22"/>
              </w:rPr>
              <w:t xml:space="preserve">was made </w:t>
            </w:r>
            <w:r>
              <w:rPr>
                <w:sz w:val="22"/>
                <w:szCs w:val="22"/>
              </w:rPr>
              <w:t xml:space="preserve">for a member to attend </w:t>
            </w:r>
            <w:r w:rsidR="00EE2E28">
              <w:rPr>
                <w:sz w:val="22"/>
                <w:szCs w:val="22"/>
              </w:rPr>
              <w:t xml:space="preserve">the Biennial conference in Indianapolis to represent the Chapter </w:t>
            </w:r>
            <w:r>
              <w:rPr>
                <w:sz w:val="22"/>
                <w:szCs w:val="22"/>
              </w:rPr>
              <w:t>as a delegate and accept the Key Award in Aris’ place.  Marilyn Perkowski volunteered to attend as a delegate</w:t>
            </w:r>
            <w:r w:rsidR="00EE2E28">
              <w:rPr>
                <w:sz w:val="22"/>
                <w:szCs w:val="22"/>
              </w:rPr>
              <w:t>; the chapter will financially support the attendance of both Marilyn and Diane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1CC" w:rsidRPr="003836CC" w:rsidRDefault="00FF21CC" w:rsidP="0083188E">
            <w:pPr>
              <w:rPr>
                <w:sz w:val="22"/>
                <w:szCs w:val="22"/>
              </w:rPr>
            </w:pPr>
          </w:p>
        </w:tc>
      </w:tr>
      <w:tr w:rsidR="00FF21CC" w:rsidRPr="003836CC" w:rsidTr="00FA3C64"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1CC" w:rsidRPr="003836CC" w:rsidRDefault="003836CC" w:rsidP="007B6C75">
            <w:pPr>
              <w:tabs>
                <w:tab w:val="num" w:pos="450"/>
              </w:tabs>
              <w:ind w:left="90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VI</w:t>
            </w:r>
            <w:r w:rsidR="007B6C75">
              <w:rPr>
                <w:sz w:val="22"/>
                <w:szCs w:val="22"/>
              </w:rPr>
              <w:t>II</w:t>
            </w:r>
            <w:r w:rsidRPr="003836CC">
              <w:rPr>
                <w:sz w:val="22"/>
                <w:szCs w:val="22"/>
              </w:rPr>
              <w:t xml:space="preserve">. </w:t>
            </w:r>
            <w:r w:rsidR="007B6C75">
              <w:rPr>
                <w:sz w:val="22"/>
                <w:szCs w:val="22"/>
              </w:rPr>
              <w:t>Strategic Plan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1CC" w:rsidRPr="003836CC" w:rsidRDefault="007B6C75" w:rsidP="0083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Tabled.  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1CC" w:rsidRPr="003836CC" w:rsidRDefault="00FF21CC" w:rsidP="0083188E">
            <w:pPr>
              <w:rPr>
                <w:sz w:val="22"/>
                <w:szCs w:val="22"/>
              </w:rPr>
            </w:pPr>
          </w:p>
        </w:tc>
      </w:tr>
    </w:tbl>
    <w:p w:rsidR="00293D1F" w:rsidRPr="003836CC" w:rsidRDefault="00293D1F">
      <w:pPr>
        <w:rPr>
          <w:rFonts w:ascii="CG Times" w:hAnsi="CG Times"/>
          <w:sz w:val="22"/>
          <w:szCs w:val="22"/>
        </w:rPr>
      </w:pPr>
    </w:p>
    <w:p w:rsidR="00293D1F" w:rsidRPr="003836CC" w:rsidRDefault="00293D1F">
      <w:pPr>
        <w:rPr>
          <w:rFonts w:ascii="CG Times" w:hAnsi="CG Times"/>
          <w:sz w:val="22"/>
          <w:szCs w:val="22"/>
        </w:rPr>
      </w:pPr>
      <w:r w:rsidRPr="003836CC">
        <w:rPr>
          <w:rFonts w:ascii="CG Times" w:hAnsi="CG Times"/>
          <w:sz w:val="22"/>
          <w:szCs w:val="22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7650"/>
        <w:gridCol w:w="3011"/>
      </w:tblGrid>
      <w:tr w:rsidR="00293D1F" w:rsidRPr="003836CC" w:rsidTr="00FA3C64">
        <w:trPr>
          <w:tblHeader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CCCCCC"/>
          </w:tcPr>
          <w:p w:rsidR="00293D1F" w:rsidRPr="003836CC" w:rsidRDefault="00293D1F">
            <w:pPr>
              <w:pStyle w:val="Heading1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lastRenderedPageBreak/>
              <w:t>TOPIC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CCCCCC"/>
          </w:tcPr>
          <w:p w:rsidR="00293D1F" w:rsidRPr="003836CC" w:rsidRDefault="00293D1F">
            <w:pPr>
              <w:pStyle w:val="Heading1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DISCUSSION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CCCCCC"/>
          </w:tcPr>
          <w:p w:rsidR="00293D1F" w:rsidRPr="003836CC" w:rsidRDefault="00293D1F">
            <w:pPr>
              <w:pStyle w:val="Heading1"/>
              <w:rPr>
                <w:sz w:val="22"/>
                <w:szCs w:val="22"/>
              </w:rPr>
            </w:pPr>
            <w:r w:rsidRPr="003836CC">
              <w:rPr>
                <w:sz w:val="22"/>
                <w:szCs w:val="22"/>
              </w:rPr>
              <w:t>ACTION</w:t>
            </w:r>
          </w:p>
        </w:tc>
      </w:tr>
      <w:tr w:rsidR="00293D1F" w:rsidRPr="003836CC" w:rsidTr="00FA3C64"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3D1F" w:rsidRPr="003836CC" w:rsidRDefault="00293D1F" w:rsidP="007B6C75">
            <w:pPr>
              <w:pStyle w:val="ListParagraph"/>
              <w:ind w:left="787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D1F" w:rsidRPr="003836CC" w:rsidRDefault="00293D1F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D1F" w:rsidRPr="003836CC" w:rsidRDefault="00293D1F">
            <w:pPr>
              <w:rPr>
                <w:sz w:val="22"/>
                <w:szCs w:val="22"/>
              </w:rPr>
            </w:pPr>
          </w:p>
        </w:tc>
      </w:tr>
      <w:tr w:rsidR="003836CC" w:rsidRPr="003836CC" w:rsidTr="00FA3C64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6CC" w:rsidRPr="0036290B" w:rsidRDefault="007B6C75" w:rsidP="007B6C75">
            <w:pPr>
              <w:pStyle w:val="ListParagraph"/>
              <w:ind w:left="787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 Events and Responsibility Calendar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6CC" w:rsidRPr="003836CC" w:rsidRDefault="007B6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Tabled.  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6CC" w:rsidRPr="003836CC" w:rsidRDefault="003836CC">
            <w:pPr>
              <w:rPr>
                <w:sz w:val="22"/>
                <w:szCs w:val="22"/>
              </w:rPr>
            </w:pPr>
          </w:p>
        </w:tc>
      </w:tr>
      <w:tr w:rsidR="003836CC" w:rsidRPr="003836CC" w:rsidTr="00FA3C64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6CC" w:rsidRPr="0036290B" w:rsidRDefault="003836CC" w:rsidP="007B6C75">
            <w:pPr>
              <w:pStyle w:val="ListParagraph"/>
              <w:ind w:left="787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6CC" w:rsidRPr="003836CC" w:rsidRDefault="003836CC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6CC" w:rsidRPr="003836CC" w:rsidRDefault="003836CC">
            <w:pPr>
              <w:rPr>
                <w:sz w:val="22"/>
                <w:szCs w:val="22"/>
              </w:rPr>
            </w:pPr>
          </w:p>
        </w:tc>
      </w:tr>
      <w:tr w:rsidR="0036290B" w:rsidRPr="003836CC" w:rsidTr="00FA3C64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90B" w:rsidRDefault="007B6C75" w:rsidP="007B6C75">
            <w:pPr>
              <w:pStyle w:val="ListParagraph"/>
              <w:ind w:left="787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X.  Next meeting 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90B" w:rsidRPr="003836CC" w:rsidRDefault="007B6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25, 2017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90B" w:rsidRPr="003836CC" w:rsidRDefault="007B6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Adjournment motions: Barb Brunt and </w:t>
            </w:r>
            <w:r w:rsidR="007B1DD6">
              <w:rPr>
                <w:sz w:val="22"/>
                <w:szCs w:val="22"/>
              </w:rPr>
              <w:t xml:space="preserve">Dina Dornack.  Motion carried.  </w:t>
            </w:r>
          </w:p>
        </w:tc>
      </w:tr>
      <w:tr w:rsidR="0036290B" w:rsidRPr="003836CC" w:rsidTr="00FA3C64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6290B" w:rsidRDefault="0036290B" w:rsidP="007B6C75">
            <w:pPr>
              <w:pStyle w:val="ListParagraph"/>
              <w:ind w:left="787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36290B" w:rsidRDefault="00EE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Respectfully submitted,</w:t>
            </w:r>
          </w:p>
          <w:p w:rsidR="00EE2E28" w:rsidRPr="00EE2E28" w:rsidRDefault="00EE2E28">
            <w:pPr>
              <w:rPr>
                <w:rFonts w:ascii="Brush Script MT" w:hAnsi="Brush Script MT"/>
                <w:sz w:val="22"/>
                <w:szCs w:val="22"/>
              </w:rPr>
            </w:pPr>
            <w:r w:rsidRPr="00EE2E28">
              <w:rPr>
                <w:rFonts w:ascii="Brush Script MT" w:hAnsi="Brush Script MT"/>
                <w:sz w:val="32"/>
                <w:szCs w:val="22"/>
              </w:rPr>
              <w:t>Diane Brown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36290B" w:rsidRPr="003836CC" w:rsidRDefault="0036290B">
            <w:pPr>
              <w:rPr>
                <w:sz w:val="22"/>
                <w:szCs w:val="22"/>
              </w:rPr>
            </w:pPr>
          </w:p>
        </w:tc>
      </w:tr>
    </w:tbl>
    <w:p w:rsidR="00293D1F" w:rsidRPr="003836CC" w:rsidRDefault="00293D1F">
      <w:pPr>
        <w:rPr>
          <w:rFonts w:ascii="CG Times" w:hAnsi="CG Times"/>
          <w:sz w:val="22"/>
          <w:szCs w:val="22"/>
        </w:rPr>
      </w:pPr>
    </w:p>
    <w:sectPr w:rsidR="00293D1F" w:rsidRPr="003836CC">
      <w:headerReference w:type="default" r:id="rId7"/>
      <w:pgSz w:w="15840" w:h="12240" w:orient="landscape" w:code="1"/>
      <w:pgMar w:top="576" w:right="720" w:bottom="28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55" w:rsidRDefault="00327F55">
      <w:r>
        <w:separator/>
      </w:r>
    </w:p>
  </w:endnote>
  <w:endnote w:type="continuationSeparator" w:id="0">
    <w:p w:rsidR="00327F55" w:rsidRDefault="0032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55" w:rsidRDefault="00327F55">
      <w:r>
        <w:separator/>
      </w:r>
    </w:p>
  </w:footnote>
  <w:footnote w:type="continuationSeparator" w:id="0">
    <w:p w:rsidR="00327F55" w:rsidRDefault="00327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1F" w:rsidRDefault="00293D1F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2DEC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4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DF5087"/>
    <w:multiLevelType w:val="hybridMultilevel"/>
    <w:tmpl w:val="073029F4"/>
    <w:lvl w:ilvl="0" w:tplc="24CE499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761183F"/>
    <w:multiLevelType w:val="hybridMultilevel"/>
    <w:tmpl w:val="E3DCF3B8"/>
    <w:lvl w:ilvl="0" w:tplc="651E9F9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82B5C41"/>
    <w:multiLevelType w:val="hybridMultilevel"/>
    <w:tmpl w:val="5606A44C"/>
    <w:lvl w:ilvl="0" w:tplc="A10011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74E4B"/>
    <w:multiLevelType w:val="singleLevel"/>
    <w:tmpl w:val="D586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896960"/>
    <w:multiLevelType w:val="hybridMultilevel"/>
    <w:tmpl w:val="B9A8D5B6"/>
    <w:lvl w:ilvl="0" w:tplc="2E724CA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9E96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0E14F5"/>
    <w:multiLevelType w:val="singleLevel"/>
    <w:tmpl w:val="A75A9E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40FE1A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CF2D65"/>
    <w:multiLevelType w:val="hybridMultilevel"/>
    <w:tmpl w:val="C18C910E"/>
    <w:lvl w:ilvl="0" w:tplc="A7227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170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1044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2CE4E1C"/>
    <w:multiLevelType w:val="singleLevel"/>
    <w:tmpl w:val="A75A9E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 w15:restartNumberingAfterBreak="0">
    <w:nsid w:val="706767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2C"/>
    <w:rsid w:val="00193E4E"/>
    <w:rsid w:val="001B0A91"/>
    <w:rsid w:val="001E4450"/>
    <w:rsid w:val="00293D1F"/>
    <w:rsid w:val="002E25C4"/>
    <w:rsid w:val="002E442C"/>
    <w:rsid w:val="00327F55"/>
    <w:rsid w:val="0036290B"/>
    <w:rsid w:val="003836CC"/>
    <w:rsid w:val="003A1277"/>
    <w:rsid w:val="003C252A"/>
    <w:rsid w:val="005C78BB"/>
    <w:rsid w:val="005E259D"/>
    <w:rsid w:val="005F34B9"/>
    <w:rsid w:val="007B1DD6"/>
    <w:rsid w:val="007B6C75"/>
    <w:rsid w:val="00880A14"/>
    <w:rsid w:val="009631E3"/>
    <w:rsid w:val="00A41439"/>
    <w:rsid w:val="00A67784"/>
    <w:rsid w:val="00AF2DEC"/>
    <w:rsid w:val="00CA04BB"/>
    <w:rsid w:val="00D66917"/>
    <w:rsid w:val="00E26EF5"/>
    <w:rsid w:val="00EC7D73"/>
    <w:rsid w:val="00EE2E28"/>
    <w:rsid w:val="00FA3C64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8D6C28-B733-4F1F-AF23-F0C6FBF5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5C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AKRON</vt:lpstr>
    </vt:vector>
  </TitlesOfParts>
  <Company>The University of Akron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AKRON</dc:title>
  <dc:creator>Mrs. Dee Dee Pitts</dc:creator>
  <cp:lastModifiedBy>Brown,Diane K</cp:lastModifiedBy>
  <cp:revision>2</cp:revision>
  <cp:lastPrinted>1998-10-13T16:21:00Z</cp:lastPrinted>
  <dcterms:created xsi:type="dcterms:W3CDTF">2017-09-25T21:31:00Z</dcterms:created>
  <dcterms:modified xsi:type="dcterms:W3CDTF">2017-09-25T21:31:00Z</dcterms:modified>
</cp:coreProperties>
</file>