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65" w:rsidRDefault="00DF1865" w:rsidP="006E3377">
      <w:pPr>
        <w:spacing w:after="200" w:line="320" w:lineRule="atLeast"/>
        <w:ind w:left="2000" w:hanging="1600"/>
        <w:jc w:val="both"/>
        <w:rPr>
          <w:rFonts w:ascii="Times Roman" w:hAnsi="Times Roman" w:cs="Times Roman"/>
          <w:b/>
          <w:bCs/>
          <w:color w:val="auto"/>
        </w:rPr>
      </w:pPr>
      <w:bookmarkStart w:id="0" w:name="_GoBack"/>
      <w:bookmarkEnd w:id="0"/>
      <w:r>
        <w:rPr>
          <w:rFonts w:ascii="Times Roman" w:hAnsi="Times Roman" w:cs="Times Roman"/>
          <w:b/>
          <w:bCs/>
        </w:rPr>
        <w:t xml:space="preserve">3359-48-02     </w:t>
      </w:r>
      <w:r w:rsidRPr="006E3377">
        <w:rPr>
          <w:rFonts w:ascii="Times Roman" w:hAnsi="Times Roman" w:cs="Times Roman"/>
          <w:b/>
          <w:bCs/>
          <w:color w:val="auto"/>
        </w:rPr>
        <w:t>Academics and admissions.</w:t>
      </w:r>
    </w:p>
    <w:p w:rsidR="006E3377" w:rsidRPr="006E3377" w:rsidRDefault="006E3377" w:rsidP="006E3377">
      <w:pPr>
        <w:spacing w:after="200" w:line="320" w:lineRule="atLeast"/>
        <w:ind w:left="2000" w:hanging="1600"/>
        <w:jc w:val="both"/>
        <w:rPr>
          <w:rFonts w:ascii="Times Roman" w:hAnsi="Times Roman" w:cs="Times Roman"/>
          <w:color w:val="auto"/>
        </w:rPr>
      </w:pPr>
    </w:p>
    <w:p w:rsidR="00DF1865" w:rsidRPr="006E3377" w:rsidRDefault="00DF1865" w:rsidP="006E3377">
      <w:pPr>
        <w:spacing w:after="200"/>
        <w:ind w:left="800" w:hanging="500"/>
        <w:jc w:val="both"/>
        <w:rPr>
          <w:rFonts w:ascii="Times Roman" w:hAnsi="Times Roman" w:cs="Times Roman"/>
          <w:color w:val="auto"/>
        </w:rPr>
      </w:pPr>
      <w:r w:rsidRPr="006E3377">
        <w:rPr>
          <w:rFonts w:ascii="Times Roman" w:hAnsi="Times Roman" w:cs="Times Roman"/>
          <w:color w:val="auto"/>
        </w:rPr>
        <w:t>(A) Athletic academic assistance.</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(1) Purpose.</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The university of Akron athletic department has developed a separate program to assist student-athletes in successfully obtaining a degree and ultimately satisfy their career objectives. The thrust of the program is to assist and coordinate with various academic auxiliaries and instructional personnel available resources for the student-athlete. Accurate record keeping, charting of academic progress, and NCAA rule compliance will also be monitored. However, the ultimate responsibility for athletic eligibility rests with the student-athlete and his/her respective coach.</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The coordinator for academic advising for student-athletes shall serve as a liaison between the athletic department and all faculty, staff, and university personnel regarding academic concerns and procedures. Coaches are explicitly prohibited from making contact with faculty and university administrative and academic personnel regarding academic matters unless contacted directly by a faculty member. All academic services provided by the athletic department shall be in total compliance with our institutional responsibility as it relates to conference and NCAA rules, regulations, agreements, precedents, and published interpretations.</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(2) Academic standards.</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Every student-athlete who participates in intercollegiate athletics becomes a member of a team. By accepting this privilege of team membership, student-athletes accept the following responsibilities in addition to their regular responsibilities as students.</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The major purpose of the athletic department is to have each student-athlete pursue and obtain an academic degree. Student-athletes have the responsibility of attending class on a regular basis, of completing all classroom assignments, and of conducting themselves in all academic matters in ways that are consistent with acceptable classroom performance. The student-athlete is required to meet all university and college academic requirements as well as the eligibility rules of the university, NCAA, and conference. Although academic progress and eligibility are monitored by the athletic department, it is the responsibility of the student-athlete to insure that applicable requirements are being met.</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If students have questions regarding eligibility requirements, they should consult with the coordinator of academic advising for student-athletes. Important academic requirements include the following items:</w:t>
      </w:r>
    </w:p>
    <w:p w:rsidR="001611D9"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 xml:space="preserve">(a) To be eligible to practice or compete, all student-athletes must be registered for a </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lastRenderedPageBreak/>
        <w:t>minimum of twelve semester hours.</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(b) Freshmen must maintain a minimum grade-point average their first semester of residence in order to be eligible for competition the second semester.</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(c) In order to be eligible for competition and grants-in-aid, student-athletes must meet additional requirements.</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 A minimum of twenty-four semester hours which count toward the student's degree requirements with a 1.800 grade-point average at the start of the sophomore year.</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(ii) A minimum of forty-eight semester hours which count toward the student's degree requirements with a 2.00 grade-point average at the start of the junior year.</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(iii) A minimum of seventy-two semester hours which count toward the student's degree requirements with a 2.00 grade-point average at the start of the senior year.</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(iv) A minimum of ninety-six semester hours which count toward the student's degree requirements with a 2.00 grade-point average at the start of the fifth year.</w:t>
      </w:r>
    </w:p>
    <w:p w:rsidR="00DF1865" w:rsidRPr="006E3377" w:rsidRDefault="00DF1865" w:rsidP="006E3377">
      <w:pPr>
        <w:spacing w:after="200"/>
        <w:ind w:left="800" w:hanging="500"/>
        <w:jc w:val="both"/>
        <w:rPr>
          <w:rFonts w:ascii="Times Roman" w:hAnsi="Times Roman" w:cs="Times Roman"/>
          <w:color w:val="auto"/>
        </w:rPr>
      </w:pPr>
      <w:r w:rsidRPr="006E3377">
        <w:rPr>
          <w:rFonts w:ascii="Times Roman" w:hAnsi="Times Roman" w:cs="Times Roman"/>
          <w:color w:val="auto"/>
        </w:rPr>
        <w:t>(B) Admissions.</w:t>
      </w:r>
    </w:p>
    <w:p w:rsidR="00DF1865" w:rsidRPr="006E3377" w:rsidRDefault="00DF1865" w:rsidP="006E3377">
      <w:pPr>
        <w:spacing w:after="200"/>
        <w:ind w:left="800"/>
        <w:jc w:val="both"/>
        <w:rPr>
          <w:rFonts w:ascii="Times Roman" w:hAnsi="Times Roman" w:cs="Times Roman"/>
          <w:color w:val="auto"/>
        </w:rPr>
      </w:pPr>
      <w:r w:rsidRPr="006E3377">
        <w:rPr>
          <w:rFonts w:ascii="Times Roman" w:hAnsi="Times Roman" w:cs="Times Roman"/>
          <w:color w:val="auto"/>
        </w:rPr>
        <w:t>The following admission guidelines have been established for student-athletes:</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(1) New freshmen must be admitted and registered no later than the first day of the term.</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(2) Transfer students must be admitted no later than the fifth class day of the term.</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(3) An out-of-state student-athlete who does not meet the recommended admission guidelines must be eligible to receive financial aid, based on NCAA eligibility requirements, to be admitted to the university of Akron. [NCAA Bylaw 14.3]</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(4) The following itemized list should aid in processing student-athletes for admission to the university of Akron.</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(a) Admissions will send an application to potential scholarship athletes upon request.</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(b) If the athlete's scholarship pays room and board, inform admissions so they can write "football (sport example) athlete" at the top of the application. The admissions office will send admit letter which addresses the athletic scholarship.</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(c) All new freshmen and transfer students must attend an orientation program. This program includes academic advising and course registration.</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lastRenderedPageBreak/>
        <w:t>(d) In order to schedule student-athletes to come at a particular time (all in the same week, for example), contact the admissions office. A "block" of appointments will be reserved.</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(e) The admissions office will mail promotional literature about the university to recruits. (This is a required regulation by the NCAA.) To receive such items, send student's name, address, high school, year of graduation, and intended college major (if possible) to the admissions office.</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(f) Campus profiles are available free. If a supply of viewbooks is needed, they must be ordered in April. The department will be billed for the viewbooks ordered.</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(g) The admissions officers are happy to talk to any prospective athletes. It is helpful if they are called ahead of time (extension 7077) so they know a little about the student.</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(h) For questions regarding a student's qualifications for admission, contact the assistant athletic director, who in turn will communicate with admissions.</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(5) Application procedures.</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The appropriate process should be followed depending on the incoming student's status.</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(a) New freshman (a high school graduate who has never attended college):</w:t>
      </w:r>
    </w:p>
    <w:p w:rsidR="00DF1865" w:rsidRPr="006E3377" w:rsidRDefault="00DF1865" w:rsidP="006E3377">
      <w:pPr>
        <w:spacing w:after="200"/>
        <w:ind w:left="1600"/>
        <w:jc w:val="both"/>
        <w:rPr>
          <w:rFonts w:ascii="Times Roman" w:hAnsi="Times Roman" w:cs="Times Roman"/>
          <w:color w:val="auto"/>
        </w:rPr>
      </w:pPr>
      <w:r w:rsidRPr="006E3377">
        <w:rPr>
          <w:rFonts w:ascii="Times Roman" w:hAnsi="Times Roman" w:cs="Times Roman"/>
          <w:color w:val="auto"/>
        </w:rPr>
        <w:t xml:space="preserve">Applications for non-Ohio residents are reviewed separately. An admissions officer can help with the criteria. The university of Akron administers a residual ACT once a month. This test is for students who will attend the university of Akron, but have not taken the ACT. Registration forms are available in the admissions office. This residual test will not satisfy NCAA core-course compliance standards. </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 The student-athlete must submit a completed application with the non-refundable processing fee. (This fee is NOT waived for scholarship student-athletes.)</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(ii) The student-athlete must request a high school transcript and ACT or SAT scores to be sent to the admissions office.</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 xml:space="preserve">(iii) Once all credentials are received, the admissions office will review the application and send the appropriate letter. Admitted students will be assigned an orientation date. </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 xml:space="preserve">(b) Transfer (a high school graduate who has attended one or more regionally-accredited colleges): </w:t>
      </w:r>
    </w:p>
    <w:p w:rsidR="00DF1865" w:rsidRPr="006E3377" w:rsidRDefault="00DF1865" w:rsidP="006E3377">
      <w:pPr>
        <w:spacing w:after="200"/>
        <w:ind w:left="1600"/>
        <w:jc w:val="both"/>
        <w:rPr>
          <w:rFonts w:ascii="Times Roman" w:hAnsi="Times Roman" w:cs="Times Roman"/>
          <w:color w:val="auto"/>
        </w:rPr>
      </w:pPr>
      <w:r w:rsidRPr="006E3377">
        <w:rPr>
          <w:rFonts w:ascii="Times Roman" w:hAnsi="Times Roman" w:cs="Times Roman"/>
          <w:color w:val="auto"/>
        </w:rPr>
        <w:lastRenderedPageBreak/>
        <w:t>Note: multiply quarter hours by two-thirds to convert to semester credits (example: forty-five credits times two-thirds equals thirty semester credits).</w:t>
      </w:r>
    </w:p>
    <w:p w:rsidR="00DF1865" w:rsidRPr="006E3377" w:rsidRDefault="00DF1865" w:rsidP="006E3377">
      <w:pPr>
        <w:spacing w:after="200"/>
        <w:ind w:left="1600"/>
        <w:jc w:val="both"/>
        <w:rPr>
          <w:rFonts w:ascii="Times Roman" w:hAnsi="Times Roman" w:cs="Times Roman"/>
          <w:color w:val="auto"/>
        </w:rPr>
      </w:pPr>
      <w:r w:rsidRPr="006E3377">
        <w:rPr>
          <w:rFonts w:ascii="Times Roman" w:hAnsi="Times Roman" w:cs="Times Roman"/>
          <w:color w:val="auto"/>
        </w:rPr>
        <w:t xml:space="preserve">A high school transcript and ACT/SAT results are required only if the transfer has completed less than twelve credits. </w:t>
      </w:r>
    </w:p>
    <w:p w:rsidR="00DF1865" w:rsidRPr="006E3377" w:rsidRDefault="00DF1865" w:rsidP="006E3377">
      <w:pPr>
        <w:spacing w:after="200"/>
        <w:ind w:left="1600"/>
        <w:jc w:val="both"/>
        <w:rPr>
          <w:rFonts w:ascii="Times Roman" w:hAnsi="Times Roman" w:cs="Times Roman"/>
          <w:color w:val="auto"/>
        </w:rPr>
      </w:pPr>
      <w:r w:rsidRPr="006E3377">
        <w:rPr>
          <w:rFonts w:ascii="Times Roman" w:hAnsi="Times Roman" w:cs="Times Roman"/>
          <w:color w:val="auto"/>
        </w:rPr>
        <w:t>Admissions standards for particular colleges differ. Please consult an admissions officer for specific details.</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 The student-athlete must submit a completed application with the non-refundable processing fee.</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(ii) The student-athlete must request official transcripts from all colleges attended and have each sent to the admissions office.</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 xml:space="preserve">(iii) Once all credentials are received, the admissions office will review the application and send the appropriate letter. Admitted students will be assigned an orientation date based on their college (arts &amp; sciences, engineering, education, business administration, fine &amp; applied arts, or nursing) and will meet with their assigned academic adviser during the transfer orientation program. </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 xml:space="preserve">(6) Athletic eligibility lists - rules and regulations. </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The athletic eligibility lists must be submitted to the registrar’s office by the assistant athletic director.</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(a) Each list should be submitted six weeks prior to the date of the first competition for each sport.</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(b) Each list should be in alphabetical order and should include the potential athletes' social security numbers.</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(7) Freshmen eligibility.</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To be eligible to receive an athletic grant-in-aid, practice and compete all freshmen at the university of Akron must be determined a qualifier by NCAA clearinghouse pertaining to NCAA bylaw (1.2). These requirements include:</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(a) A minimum of thirteen core courses with at least four years of english, two years of math at the level of algebra I or higher, two years of natural or physical science (including one laboratory course), two years of social science, one additional year of courses in english, math or natural or physical science and two additional years designated courses.</w:t>
      </w:r>
    </w:p>
    <w:p w:rsidR="00DF1865" w:rsidRPr="006E3377" w:rsidRDefault="00DF1865" w:rsidP="006E3377">
      <w:pPr>
        <w:spacing w:after="200"/>
        <w:ind w:left="1600"/>
        <w:jc w:val="both"/>
        <w:rPr>
          <w:rFonts w:ascii="Times Roman" w:hAnsi="Times Roman" w:cs="Times Roman"/>
          <w:color w:val="auto"/>
        </w:rPr>
      </w:pPr>
      <w:r w:rsidRPr="006E3377">
        <w:rPr>
          <w:rFonts w:ascii="Times Roman" w:hAnsi="Times Roman" w:cs="Times Roman"/>
          <w:color w:val="auto"/>
        </w:rPr>
        <w:t xml:space="preserve">The record of the above courses and course grades must be certified by the initial-eligibility clearinghouse using an official high school transcript or official </w:t>
      </w:r>
      <w:r w:rsidRPr="006E3377">
        <w:rPr>
          <w:rFonts w:ascii="Times Roman" w:hAnsi="Times Roman" w:cs="Times Roman"/>
          <w:color w:val="auto"/>
        </w:rPr>
        <w:lastRenderedPageBreak/>
        <w:t>correspondence forwarded directly from the high school or upon a high-school transcript forwarded by an institutions admissions office, and</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(b) A minimum combined score on the SAT verbal and math sections or a minimum sum score on the ACT as specified in bylaw 14.3.1.1.1. The required SAT or ACT score must be achieved under national testing conditions on a national testing date (i.e. no residual campus testing or regional testing dates).</w:t>
      </w:r>
    </w:p>
    <w:p w:rsidR="00DF1865" w:rsidRPr="006E3377" w:rsidRDefault="00DF1865" w:rsidP="006E3377">
      <w:pPr>
        <w:spacing w:after="200"/>
        <w:ind w:left="1600"/>
        <w:jc w:val="both"/>
        <w:rPr>
          <w:rFonts w:ascii="Times Roman" w:hAnsi="Times Roman" w:cs="Times Roman"/>
          <w:color w:val="auto"/>
        </w:rPr>
      </w:pPr>
      <w:r w:rsidRPr="006E3377">
        <w:rPr>
          <w:rFonts w:ascii="Times Roman" w:hAnsi="Times Roman" w:cs="Times Roman"/>
          <w:color w:val="auto"/>
        </w:rPr>
        <w:t>International students must meet the NCAA initial eligibility requirements established for their respective country's school system. Reference the NCAA guide to "International Academic Standards for Athletic Eligibility."</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 xml:space="preserve">(8) Freshman ineligibility </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A freshman who does not meet the requirements of NCAA bylaw (14.3) is ineligible to practice or compete for one academic year (fall/spring semesters). The student must be in residence that one academic year and pass twenty-four hours of semester coursework (no duplicate credit) and achieve at least an overall 1.800 grade-point average.</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(9) Full-time status.</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(a) A student must be enrolled for at least twelve semester credits.</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 Co-op students are considered full-time students under certain published criteria.</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(ii) Credit equivalency for developmental courses may be used to satisfy full-time enrollment requirements. However, a student-athlete may receive credit for only a maximum of twelve "developmental" hours of coursework. Completion of all developmental work must occur within the student-athlete's freshman year in school.</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(iii) Courses enrolled for a "repeat-for-change-of-grade" basis may be used to satisfy enrollment requirements, but can only be used to satisfy the twenty-four semester hours requirement between competitive seasons once.</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(10) Normal academic progress rule.</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Eligibility for regular-season competition after the student's first academic year in residence or after the student has used one season of eligibility in a sport shall be based on:</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(a) Satisfactory completion of an accumulative total of semester credits which is equivalent to the completion of an average of at least twelve semester credits during each of the previous academic terms in academic years in which the student has been enrolled, or</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lastRenderedPageBreak/>
        <w:t xml:space="preserve">(b) Satisfactory completion of twenty-four semester credits of acceptable degree credit since the beginning of the student's last season of competition. </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 Effective fall 1983, developmental courses will count toward the twenty-four credits needed for normal progress by virtue of a policy change which makes developmental courses mandatory in the freshman year.</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(ii) Bypass credit, advanced placement and military credit can be used to satisfy the twenty-four credit rule.</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 xml:space="preserve">(iii) Transient credit with proper authorization can be used to satisfy the twenty-four credit rule. </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 xml:space="preserve">(iv) Repeat for change of "D" grade: </w:t>
      </w:r>
    </w:p>
    <w:p w:rsidR="00DF1865" w:rsidRPr="006E3377" w:rsidRDefault="00DF1865" w:rsidP="006E3377">
      <w:pPr>
        <w:spacing w:after="200"/>
        <w:ind w:left="2400" w:hanging="500"/>
        <w:jc w:val="both"/>
        <w:rPr>
          <w:rFonts w:ascii="Times Roman" w:hAnsi="Times Roman" w:cs="Times Roman"/>
          <w:color w:val="auto"/>
        </w:rPr>
      </w:pPr>
      <w:r w:rsidRPr="006E3377">
        <w:rPr>
          <w:rFonts w:ascii="Times Roman" w:hAnsi="Times Roman" w:cs="Times Roman"/>
          <w:color w:val="auto"/>
        </w:rPr>
        <w:t xml:space="preserve">(a) If a student-athlete repeats a course in which a grade of "D" was earned, only one attempt will count toward normal progress. </w:t>
      </w:r>
    </w:p>
    <w:p w:rsidR="00DF1865" w:rsidRPr="006E3377" w:rsidRDefault="00DF1865" w:rsidP="006E3377">
      <w:pPr>
        <w:spacing w:after="200"/>
        <w:ind w:left="2800" w:hanging="500"/>
        <w:jc w:val="both"/>
        <w:rPr>
          <w:rFonts w:ascii="Times Roman" w:hAnsi="Times Roman" w:cs="Times Roman"/>
          <w:color w:val="auto"/>
        </w:rPr>
      </w:pPr>
      <w:r w:rsidRPr="006E3377">
        <w:rPr>
          <w:rFonts w:ascii="Times Roman" w:hAnsi="Times Roman" w:cs="Times Roman"/>
          <w:color w:val="auto"/>
        </w:rPr>
        <w:t>(i) If original "D" course was counted toward normal progress, the second attempt cannot be used.</w:t>
      </w:r>
    </w:p>
    <w:p w:rsidR="00DF1865" w:rsidRPr="006E3377" w:rsidRDefault="00DF1865" w:rsidP="006E3377">
      <w:pPr>
        <w:spacing w:after="200"/>
        <w:ind w:left="2800" w:hanging="500"/>
        <w:jc w:val="both"/>
        <w:rPr>
          <w:rFonts w:ascii="Times Roman" w:hAnsi="Times Roman" w:cs="Times Roman"/>
          <w:color w:val="auto"/>
        </w:rPr>
      </w:pPr>
      <w:r w:rsidRPr="006E3377">
        <w:rPr>
          <w:rFonts w:ascii="Times Roman" w:hAnsi="Times Roman" w:cs="Times Roman"/>
          <w:color w:val="auto"/>
        </w:rPr>
        <w:t>(ii) If original "D" course did not count toward normal progress, the second attempt may be counted.</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(11) Five-year limit.</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A student-athlete must complete four seasons of eligibility within five calendar years from initial date of full-time enrollment.</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(12) Transfer students.</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A transfer student from a four-year institution shall not be eligible until the student has fulfilled a residence requirement of one full academic year (two full semesters), passed twenty-four semester credits, and one full calendar year has elapsed from the first regular registration and attendance date at this institution.</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The following exceptions apply to transfer student eligibility:</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(a) A transfer student from a junior college who graduated from high school as a qualifier is immediately eligible if he/she:</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 xml:space="preserve">(i) Graduated from a junior college, or </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(ii) Has completed forty-eight/seventy-two hours of transferable degree credit with a 2.00 grade-point average (see NCAA Manual) (excluding summer sessions) and all junior college work is degree applicable.</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 xml:space="preserve">(b) A transfer student from a junior college who did not graduate from high school as </w:t>
      </w:r>
      <w:r w:rsidRPr="006E3377">
        <w:rPr>
          <w:rFonts w:ascii="Times Roman" w:hAnsi="Times Roman" w:cs="Times Roman"/>
          <w:color w:val="auto"/>
        </w:rPr>
        <w:lastRenderedPageBreak/>
        <w:t>a qualifier is immediately eligible if he/she graduated from a junior college and completes forty-eight/seventy-two hours of transferable degree credit with a 2.00 grade-point average (see NCAA Manual).</w:t>
      </w:r>
    </w:p>
    <w:p w:rsidR="00DF1865" w:rsidRPr="006E3377" w:rsidRDefault="00DF1865" w:rsidP="006E3377">
      <w:pPr>
        <w:spacing w:after="200"/>
        <w:ind w:left="1600" w:hanging="500"/>
        <w:jc w:val="both"/>
        <w:rPr>
          <w:rFonts w:ascii="Times Roman" w:hAnsi="Times Roman" w:cs="Times Roman"/>
          <w:color w:val="auto"/>
        </w:rPr>
      </w:pPr>
      <w:r w:rsidRPr="006E3377">
        <w:rPr>
          <w:rFonts w:ascii="Times Roman" w:hAnsi="Times Roman" w:cs="Times Roman"/>
          <w:color w:val="auto"/>
        </w:rPr>
        <w:t>(c) A transfer student from a four-year school is immediately eligible if he/she:</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 Transferred from a branch campus which did not have an athletic program.</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(ii) Transferred from an institution which discontinued the sport in which the student participated.</w:t>
      </w:r>
    </w:p>
    <w:p w:rsidR="00DF1865" w:rsidRPr="006E3377" w:rsidRDefault="00DF1865" w:rsidP="006E3377">
      <w:pPr>
        <w:spacing w:after="200"/>
        <w:ind w:left="2000" w:hanging="500"/>
        <w:jc w:val="both"/>
        <w:rPr>
          <w:rFonts w:ascii="Times Roman" w:hAnsi="Times Roman" w:cs="Times Roman"/>
          <w:color w:val="auto"/>
        </w:rPr>
      </w:pPr>
      <w:r w:rsidRPr="006E3377">
        <w:rPr>
          <w:rFonts w:ascii="Times Roman" w:hAnsi="Times Roman" w:cs="Times Roman"/>
          <w:color w:val="auto"/>
        </w:rPr>
        <w:t>(iii) The student qualifies under the exempt sports enumerated in NCAA legislation.</w:t>
      </w:r>
    </w:p>
    <w:p w:rsidR="00DF1865" w:rsidRPr="006E3377" w:rsidRDefault="00DF1865" w:rsidP="006E3377">
      <w:pPr>
        <w:spacing w:after="200"/>
        <w:ind w:left="2000"/>
        <w:jc w:val="both"/>
        <w:rPr>
          <w:rFonts w:ascii="Times Roman" w:hAnsi="Times Roman" w:cs="Times Roman"/>
          <w:color w:val="auto"/>
        </w:rPr>
      </w:pPr>
      <w:r w:rsidRPr="006E3377">
        <w:rPr>
          <w:rFonts w:ascii="Times Roman" w:hAnsi="Times Roman" w:cs="Times Roman"/>
          <w:color w:val="auto"/>
        </w:rPr>
        <w:t>For other exceptions for student-athletes who have transferred from either an American or foreign institution, please contact the assistant athletic director for compliance.</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(13) Information.</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A student seeking admission to the university of Akron should apply or write to the "Office of Admissions, 166 Fir Hill, The University of Akron, Akron, Ohio 44325-2001," or phone (330) 972-7100. The student seeking admission to the graduate school should communicate directly with the "Graduate School, 138 Fir Hill, The University of Akron, Akron, Ohio 44325-2101" or phone (330) 972-7663. Law school information is available from the "School of Law, Grant and East Center Streets, The University of Akron, Akron, Ohio 44325-2901," or phone (330) 972-7331.</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(14) Course progress checks.</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 xml:space="preserve">All student-athletes will have regular grade report checks completed by each instructor. Periodically in the semester, the office of academic advising for student-athletes will coordinate receipt of academic information relating to student-athletic grades, absences and other pertinent academic information. Each coach will be given a composite of their individual report and should meet with the coordinator of academic advising for student-athletes as well as the athletic administrator in charge to review problems. At no time is any coach to have contact with instructors regarding a student-athlete's academic standing. </w:t>
      </w:r>
    </w:p>
    <w:p w:rsidR="00DF1865" w:rsidRPr="006E3377" w:rsidRDefault="00DF1865" w:rsidP="006E3377">
      <w:pPr>
        <w:spacing w:after="200"/>
        <w:ind w:left="1200" w:hanging="500"/>
        <w:jc w:val="both"/>
        <w:rPr>
          <w:rFonts w:ascii="Times Roman" w:hAnsi="Times Roman" w:cs="Times Roman"/>
          <w:color w:val="auto"/>
        </w:rPr>
      </w:pPr>
      <w:r w:rsidRPr="006E3377">
        <w:rPr>
          <w:rFonts w:ascii="Times Roman" w:hAnsi="Times Roman" w:cs="Times Roman"/>
          <w:color w:val="auto"/>
        </w:rPr>
        <w:t>(15) Classroom locations.</w:t>
      </w:r>
    </w:p>
    <w:p w:rsidR="00DF1865" w:rsidRPr="006E3377" w:rsidRDefault="00DF1865" w:rsidP="006E3377">
      <w:pPr>
        <w:spacing w:after="200"/>
        <w:ind w:left="1200"/>
        <w:jc w:val="both"/>
        <w:rPr>
          <w:rFonts w:ascii="Times Roman" w:hAnsi="Times Roman" w:cs="Times Roman"/>
          <w:color w:val="auto"/>
        </w:rPr>
      </w:pPr>
      <w:r w:rsidRPr="006E3377">
        <w:rPr>
          <w:rFonts w:ascii="Times Roman" w:hAnsi="Times Roman" w:cs="Times Roman"/>
          <w:color w:val="auto"/>
        </w:rPr>
        <w:t xml:space="preserve">Consult the campus map and legend on the front cover of the current schedule of classes bulletin for the abbreviations and locations of all facilities. Room assignments are listed in this schedule of classes bulletin. Room changes will be posted near the door of the original classroom. </w:t>
      </w:r>
    </w:p>
    <w:p w:rsidR="00DF1865" w:rsidRDefault="00DF1865" w:rsidP="006E3377">
      <w:pPr>
        <w:jc w:val="both"/>
        <w:rPr>
          <w:rFonts w:ascii="Times New Roman" w:hAnsi="Times New Roman" w:cs="Times New Roman"/>
          <w:color w:val="auto"/>
        </w:rPr>
      </w:pPr>
    </w:p>
    <w:p w:rsidR="001611D9" w:rsidRDefault="001611D9" w:rsidP="001611D9">
      <w:pPr>
        <w:widowControl/>
        <w:rPr>
          <w:rFonts w:ascii="Times New Roman" w:hAnsi="Times New Roman" w:cs="Times New Roman"/>
          <w:color w:val="auto"/>
        </w:rPr>
      </w:pPr>
      <w:r w:rsidRPr="001611D9">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611D9">
        <w:rPr>
          <w:rFonts w:ascii="Times New Roman" w:hAnsi="Times New Roman" w:cs="Times New Roman"/>
          <w:color w:val="auto"/>
        </w:rPr>
        <w:t>3359-48-02</w:t>
      </w:r>
    </w:p>
    <w:p w:rsidR="001611D9" w:rsidRPr="001611D9" w:rsidRDefault="001611D9" w:rsidP="001611D9">
      <w:pPr>
        <w:widowControl/>
        <w:rPr>
          <w:rFonts w:ascii="Times New Roman" w:hAnsi="Times New Roman" w:cs="Times New Roman"/>
          <w:color w:val="auto"/>
        </w:rPr>
      </w:pPr>
    </w:p>
    <w:p w:rsidR="001611D9" w:rsidRDefault="001611D9" w:rsidP="001611D9">
      <w:pPr>
        <w:widowControl/>
        <w:rPr>
          <w:rFonts w:ascii="Times New Roman" w:hAnsi="Times New Roman" w:cs="Times New Roman"/>
          <w:color w:val="auto"/>
        </w:rPr>
      </w:pPr>
      <w:r w:rsidRPr="001611D9">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611D9">
        <w:rPr>
          <w:rFonts w:ascii="Times New Roman" w:hAnsi="Times New Roman" w:cs="Times New Roman"/>
          <w:color w:val="auto"/>
        </w:rPr>
        <w:t>01/31/2015</w:t>
      </w:r>
    </w:p>
    <w:p w:rsidR="001611D9" w:rsidRPr="001611D9" w:rsidRDefault="001611D9" w:rsidP="001611D9">
      <w:pPr>
        <w:widowControl/>
        <w:rPr>
          <w:rFonts w:ascii="Times New Roman" w:hAnsi="Times New Roman" w:cs="Times New Roman"/>
          <w:color w:val="auto"/>
        </w:rPr>
      </w:pPr>
    </w:p>
    <w:p w:rsidR="001611D9" w:rsidRPr="001611D9" w:rsidRDefault="001611D9" w:rsidP="001611D9">
      <w:pPr>
        <w:widowControl/>
        <w:rPr>
          <w:rFonts w:ascii="Times New Roman" w:hAnsi="Times New Roman" w:cs="Times New Roman"/>
          <w:color w:val="auto"/>
          <w:u w:val="single"/>
        </w:rPr>
      </w:pPr>
      <w:r w:rsidRPr="001611D9">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1611D9" w:rsidRPr="001611D9" w:rsidRDefault="001611D9" w:rsidP="001611D9">
      <w:pPr>
        <w:widowControl/>
        <w:ind w:left="3600" w:firstLine="720"/>
        <w:rPr>
          <w:rFonts w:ascii="Times New Roman" w:hAnsi="Times New Roman" w:cs="Times New Roman"/>
          <w:color w:val="auto"/>
        </w:rPr>
      </w:pPr>
      <w:r w:rsidRPr="001611D9">
        <w:rPr>
          <w:rFonts w:ascii="Times New Roman" w:hAnsi="Times New Roman" w:cs="Times New Roman"/>
          <w:color w:val="auto"/>
        </w:rPr>
        <w:t>Ted A. Mallo</w:t>
      </w:r>
    </w:p>
    <w:p w:rsidR="001611D9" w:rsidRPr="001611D9" w:rsidRDefault="001611D9" w:rsidP="001611D9">
      <w:pPr>
        <w:widowControl/>
        <w:ind w:left="3600" w:firstLine="720"/>
        <w:rPr>
          <w:rFonts w:ascii="Times New Roman" w:hAnsi="Times New Roman" w:cs="Times New Roman"/>
          <w:color w:val="auto"/>
        </w:rPr>
      </w:pPr>
      <w:r w:rsidRPr="001611D9">
        <w:rPr>
          <w:rFonts w:ascii="Times New Roman" w:hAnsi="Times New Roman" w:cs="Times New Roman"/>
          <w:color w:val="auto"/>
        </w:rPr>
        <w:t>Secretary</w:t>
      </w:r>
    </w:p>
    <w:p w:rsidR="001611D9" w:rsidRDefault="001611D9" w:rsidP="001611D9">
      <w:pPr>
        <w:widowControl/>
        <w:ind w:left="4320"/>
        <w:rPr>
          <w:rFonts w:ascii="Times New Roman" w:hAnsi="Times New Roman" w:cs="Times New Roman"/>
          <w:color w:val="auto"/>
        </w:rPr>
      </w:pPr>
      <w:r w:rsidRPr="001611D9">
        <w:rPr>
          <w:rFonts w:ascii="Times New Roman" w:hAnsi="Times New Roman" w:cs="Times New Roman"/>
          <w:color w:val="auto"/>
        </w:rPr>
        <w:t>Board of Trustees</w:t>
      </w:r>
    </w:p>
    <w:p w:rsidR="001611D9" w:rsidRPr="001611D9" w:rsidRDefault="001611D9" w:rsidP="001611D9">
      <w:pPr>
        <w:widowControl/>
        <w:ind w:left="4320"/>
        <w:rPr>
          <w:rFonts w:ascii="Times New Roman" w:hAnsi="Times New Roman" w:cs="Times New Roman"/>
          <w:color w:val="auto"/>
        </w:rPr>
      </w:pPr>
    </w:p>
    <w:p w:rsidR="001611D9" w:rsidRDefault="001611D9" w:rsidP="001611D9">
      <w:pPr>
        <w:widowControl/>
        <w:rPr>
          <w:rFonts w:ascii="Times New Roman" w:hAnsi="Times New Roman" w:cs="Times New Roman"/>
          <w:color w:val="auto"/>
        </w:rPr>
      </w:pPr>
      <w:r w:rsidRPr="001611D9">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611D9">
        <w:rPr>
          <w:rFonts w:ascii="Times New Roman" w:hAnsi="Times New Roman" w:cs="Times New Roman"/>
          <w:color w:val="auto"/>
        </w:rPr>
        <w:t>111.15</w:t>
      </w:r>
    </w:p>
    <w:p w:rsidR="001611D9" w:rsidRPr="001611D9" w:rsidRDefault="001611D9" w:rsidP="001611D9">
      <w:pPr>
        <w:widowControl/>
        <w:rPr>
          <w:rFonts w:ascii="Times New Roman" w:hAnsi="Times New Roman" w:cs="Times New Roman"/>
          <w:color w:val="auto"/>
        </w:rPr>
      </w:pPr>
    </w:p>
    <w:p w:rsidR="001611D9" w:rsidRDefault="001611D9" w:rsidP="001611D9">
      <w:pPr>
        <w:widowControl/>
        <w:rPr>
          <w:rFonts w:ascii="Times New Roman" w:hAnsi="Times New Roman" w:cs="Times New Roman"/>
          <w:color w:val="auto"/>
        </w:rPr>
      </w:pPr>
      <w:r w:rsidRPr="001611D9">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611D9">
        <w:rPr>
          <w:rFonts w:ascii="Times New Roman" w:hAnsi="Times New Roman" w:cs="Times New Roman"/>
          <w:color w:val="auto"/>
        </w:rPr>
        <w:t>3359</w:t>
      </w:r>
    </w:p>
    <w:p w:rsidR="001611D9" w:rsidRPr="001611D9" w:rsidRDefault="001611D9" w:rsidP="001611D9">
      <w:pPr>
        <w:widowControl/>
        <w:rPr>
          <w:rFonts w:ascii="Times New Roman" w:hAnsi="Times New Roman" w:cs="Times New Roman"/>
          <w:color w:val="auto"/>
        </w:rPr>
      </w:pPr>
    </w:p>
    <w:p w:rsidR="001611D9" w:rsidRDefault="001611D9" w:rsidP="001611D9">
      <w:pPr>
        <w:widowControl/>
        <w:rPr>
          <w:rFonts w:ascii="Times New Roman" w:hAnsi="Times New Roman" w:cs="Times New Roman"/>
          <w:color w:val="auto"/>
        </w:rPr>
      </w:pPr>
      <w:r w:rsidRPr="001611D9">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611D9">
        <w:rPr>
          <w:rFonts w:ascii="Times New Roman" w:hAnsi="Times New Roman" w:cs="Times New Roman"/>
          <w:color w:val="auto"/>
        </w:rPr>
        <w:t>3359</w:t>
      </w:r>
    </w:p>
    <w:p w:rsidR="001611D9" w:rsidRPr="001611D9" w:rsidRDefault="001611D9" w:rsidP="001611D9">
      <w:pPr>
        <w:widowControl/>
        <w:rPr>
          <w:rFonts w:ascii="Times New Roman" w:hAnsi="Times New Roman" w:cs="Times New Roman"/>
          <w:color w:val="auto"/>
        </w:rPr>
      </w:pPr>
    </w:p>
    <w:p w:rsidR="001611D9" w:rsidRPr="001611D9" w:rsidRDefault="001611D9" w:rsidP="001611D9">
      <w:pPr>
        <w:jc w:val="both"/>
        <w:rPr>
          <w:rFonts w:ascii="Times New Roman" w:hAnsi="Times New Roman" w:cs="Times New Roman"/>
          <w:color w:val="auto"/>
        </w:rPr>
      </w:pPr>
      <w:r w:rsidRPr="001611D9">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611D9">
        <w:rPr>
          <w:rFonts w:ascii="Times New Roman" w:hAnsi="Times New Roman" w:cs="Times New Roman"/>
          <w:color w:val="auto"/>
        </w:rPr>
        <w:t>5/22/91, 08/06/01</w:t>
      </w:r>
    </w:p>
    <w:sectPr w:rsidR="001611D9" w:rsidRPr="001611D9" w:rsidSect="00ED7107">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65" w:rsidRDefault="00DF1865">
      <w:r>
        <w:separator/>
      </w:r>
    </w:p>
  </w:endnote>
  <w:endnote w:type="continuationSeparator" w:id="0">
    <w:p w:rsidR="00DF1865" w:rsidRDefault="00DF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65" w:rsidRDefault="00DF1865">
      <w:r>
        <w:separator/>
      </w:r>
    </w:p>
  </w:footnote>
  <w:footnote w:type="continuationSeparator" w:id="0">
    <w:p w:rsidR="00DF1865" w:rsidRDefault="00DF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07" w:rsidRPr="00ED7107" w:rsidRDefault="00ED7107" w:rsidP="00ED7107">
    <w:pPr>
      <w:pStyle w:val="Header"/>
      <w:rPr>
        <w:rFonts w:ascii="Times New Roman" w:hAnsi="Times New Roman" w:cs="Times New Roman"/>
      </w:rPr>
    </w:pPr>
    <w:r w:rsidRPr="00ED7107">
      <w:rPr>
        <w:rFonts w:ascii="Times New Roman" w:hAnsi="Times New Roman" w:cs="Times New Roman"/>
      </w:rPr>
      <w:t>3359-48-02</w:t>
    </w:r>
    <w:r w:rsidRPr="00ED7107">
      <w:rPr>
        <w:rFonts w:ascii="Times New Roman" w:hAnsi="Times New Roman" w:cs="Times New Roman"/>
      </w:rPr>
      <w:tab/>
    </w:r>
    <w:r w:rsidRPr="00ED7107">
      <w:rPr>
        <w:rFonts w:ascii="Times New Roman" w:hAnsi="Times New Roman" w:cs="Times New Roman"/>
      </w:rPr>
      <w:tab/>
    </w:r>
    <w:r w:rsidRPr="00ED7107">
      <w:rPr>
        <w:rFonts w:ascii="Times New Roman" w:hAnsi="Times New Roman" w:cs="Times New Roman"/>
      </w:rPr>
      <w:fldChar w:fldCharType="begin"/>
    </w:r>
    <w:r w:rsidRPr="00ED7107">
      <w:rPr>
        <w:rFonts w:ascii="Times New Roman" w:hAnsi="Times New Roman" w:cs="Times New Roman"/>
      </w:rPr>
      <w:instrText xml:space="preserve"> PAGE   \* MERGEFORMAT </w:instrText>
    </w:r>
    <w:r w:rsidRPr="00ED7107">
      <w:rPr>
        <w:rFonts w:ascii="Times New Roman" w:hAnsi="Times New Roman" w:cs="Times New Roman"/>
      </w:rPr>
      <w:fldChar w:fldCharType="separate"/>
    </w:r>
    <w:r w:rsidR="0030654A">
      <w:rPr>
        <w:rFonts w:ascii="Times New Roman" w:hAnsi="Times New Roman" w:cs="Times New Roman"/>
        <w:noProof/>
      </w:rPr>
      <w:t>8</w:t>
    </w:r>
    <w:r w:rsidRPr="00ED7107">
      <w:rPr>
        <w:rFonts w:ascii="Times New Roman" w:hAnsi="Times New Roman" w:cs="Times New Roman"/>
      </w:rPr>
      <w:fldChar w:fldCharType="end"/>
    </w:r>
  </w:p>
  <w:p w:rsidR="00DF1865" w:rsidRPr="006E3377" w:rsidRDefault="00DF1865">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77"/>
    <w:rsid w:val="001611D9"/>
    <w:rsid w:val="0030654A"/>
    <w:rsid w:val="006E3377"/>
    <w:rsid w:val="00DF1865"/>
    <w:rsid w:val="00ED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color w:val="000000"/>
      <w:kern w:val="32"/>
      <w:sz w:val="32"/>
    </w:rPr>
  </w:style>
  <w:style w:type="character" w:customStyle="1" w:styleId="Heading2Char">
    <w:name w:val="Heading 2 Char"/>
    <w:basedOn w:val="DefaultParagraphFont"/>
    <w:link w:val="Heading2"/>
    <w:uiPriority w:val="9"/>
    <w:semiHidden/>
    <w:locked/>
    <w:rPr>
      <w:rFonts w:ascii="Cambria" w:hAnsi="Cambria"/>
      <w:b/>
      <w:i/>
      <w:color w:val="000000"/>
      <w:sz w:val="28"/>
    </w:rPr>
  </w:style>
  <w:style w:type="character" w:customStyle="1" w:styleId="Heading3Char">
    <w:name w:val="Heading 3 Char"/>
    <w:basedOn w:val="DefaultParagraphFont"/>
    <w:link w:val="Heading3"/>
    <w:uiPriority w:val="9"/>
    <w:semiHidden/>
    <w:locked/>
    <w:rPr>
      <w:rFonts w:ascii="Cambria" w:hAnsi="Cambria"/>
      <w:b/>
      <w:color w:val="000000"/>
      <w:sz w:val="26"/>
    </w:rPr>
  </w:style>
  <w:style w:type="paragraph" w:styleId="Header">
    <w:name w:val="header"/>
    <w:basedOn w:val="Normal"/>
    <w:link w:val="HeaderChar"/>
    <w:uiPriority w:val="99"/>
    <w:unhideWhenUsed/>
    <w:rsid w:val="006E3377"/>
    <w:pPr>
      <w:tabs>
        <w:tab w:val="center" w:pos="4680"/>
        <w:tab w:val="right" w:pos="9360"/>
      </w:tabs>
    </w:pPr>
  </w:style>
  <w:style w:type="character" w:customStyle="1" w:styleId="HeaderChar">
    <w:name w:val="Header Char"/>
    <w:basedOn w:val="DefaultParagraphFont"/>
    <w:link w:val="Header"/>
    <w:uiPriority w:val="99"/>
    <w:locked/>
    <w:rsid w:val="006E3377"/>
    <w:rPr>
      <w:rFonts w:ascii="Arial" w:hAnsi="Arial"/>
      <w:color w:val="000000"/>
      <w:sz w:val="24"/>
    </w:rPr>
  </w:style>
  <w:style w:type="paragraph" w:styleId="Footer">
    <w:name w:val="footer"/>
    <w:basedOn w:val="Normal"/>
    <w:link w:val="FooterChar"/>
    <w:uiPriority w:val="99"/>
    <w:unhideWhenUsed/>
    <w:rsid w:val="006E3377"/>
    <w:pPr>
      <w:tabs>
        <w:tab w:val="center" w:pos="4680"/>
        <w:tab w:val="right" w:pos="9360"/>
      </w:tabs>
    </w:pPr>
  </w:style>
  <w:style w:type="character" w:customStyle="1" w:styleId="FooterChar">
    <w:name w:val="Footer Char"/>
    <w:basedOn w:val="DefaultParagraphFont"/>
    <w:link w:val="Footer"/>
    <w:uiPriority w:val="99"/>
    <w:locked/>
    <w:rsid w:val="006E3377"/>
    <w:rPr>
      <w:rFonts w:ascii="Arial" w:hAnsi="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color w:val="000000"/>
      <w:kern w:val="32"/>
      <w:sz w:val="32"/>
    </w:rPr>
  </w:style>
  <w:style w:type="character" w:customStyle="1" w:styleId="Heading2Char">
    <w:name w:val="Heading 2 Char"/>
    <w:basedOn w:val="DefaultParagraphFont"/>
    <w:link w:val="Heading2"/>
    <w:uiPriority w:val="9"/>
    <w:semiHidden/>
    <w:locked/>
    <w:rPr>
      <w:rFonts w:ascii="Cambria" w:hAnsi="Cambria"/>
      <w:b/>
      <w:i/>
      <w:color w:val="000000"/>
      <w:sz w:val="28"/>
    </w:rPr>
  </w:style>
  <w:style w:type="character" w:customStyle="1" w:styleId="Heading3Char">
    <w:name w:val="Heading 3 Char"/>
    <w:basedOn w:val="DefaultParagraphFont"/>
    <w:link w:val="Heading3"/>
    <w:uiPriority w:val="9"/>
    <w:semiHidden/>
    <w:locked/>
    <w:rPr>
      <w:rFonts w:ascii="Cambria" w:hAnsi="Cambria"/>
      <w:b/>
      <w:color w:val="000000"/>
      <w:sz w:val="26"/>
    </w:rPr>
  </w:style>
  <w:style w:type="paragraph" w:styleId="Header">
    <w:name w:val="header"/>
    <w:basedOn w:val="Normal"/>
    <w:link w:val="HeaderChar"/>
    <w:uiPriority w:val="99"/>
    <w:unhideWhenUsed/>
    <w:rsid w:val="006E3377"/>
    <w:pPr>
      <w:tabs>
        <w:tab w:val="center" w:pos="4680"/>
        <w:tab w:val="right" w:pos="9360"/>
      </w:tabs>
    </w:pPr>
  </w:style>
  <w:style w:type="character" w:customStyle="1" w:styleId="HeaderChar">
    <w:name w:val="Header Char"/>
    <w:basedOn w:val="DefaultParagraphFont"/>
    <w:link w:val="Header"/>
    <w:uiPriority w:val="99"/>
    <w:locked/>
    <w:rsid w:val="006E3377"/>
    <w:rPr>
      <w:rFonts w:ascii="Arial" w:hAnsi="Arial"/>
      <w:color w:val="000000"/>
      <w:sz w:val="24"/>
    </w:rPr>
  </w:style>
  <w:style w:type="paragraph" w:styleId="Footer">
    <w:name w:val="footer"/>
    <w:basedOn w:val="Normal"/>
    <w:link w:val="FooterChar"/>
    <w:uiPriority w:val="99"/>
    <w:unhideWhenUsed/>
    <w:rsid w:val="006E3377"/>
    <w:pPr>
      <w:tabs>
        <w:tab w:val="center" w:pos="4680"/>
        <w:tab w:val="right" w:pos="9360"/>
      </w:tabs>
    </w:pPr>
  </w:style>
  <w:style w:type="character" w:customStyle="1" w:styleId="FooterChar">
    <w:name w:val="Footer Char"/>
    <w:basedOn w:val="DefaultParagraphFont"/>
    <w:link w:val="Footer"/>
    <w:uiPriority w:val="99"/>
    <w:locked/>
    <w:rsid w:val="006E3377"/>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2</cp:revision>
  <dcterms:created xsi:type="dcterms:W3CDTF">2015-02-05T16:46:00Z</dcterms:created>
  <dcterms:modified xsi:type="dcterms:W3CDTF">2015-02-05T16:46:00Z</dcterms:modified>
</cp:coreProperties>
</file>