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85" w:rsidRPr="00061BD1" w:rsidRDefault="00221D85" w:rsidP="001E618B">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3359-1-</w:t>
      </w:r>
      <w:r w:rsidRPr="00EB3C9F">
        <w:rPr>
          <w:rFonts w:ascii="Times Roman" w:hAnsi="Times Roman" w:cs="Times Roman"/>
          <w:b/>
          <w:bCs/>
          <w:color w:val="auto"/>
        </w:rPr>
        <w:t xml:space="preserve">03     </w:t>
      </w:r>
      <w:r w:rsidRPr="00061BD1">
        <w:rPr>
          <w:rFonts w:ascii="Times Roman" w:hAnsi="Times Roman" w:cs="Times Roman"/>
          <w:b/>
          <w:bCs/>
          <w:color w:val="auto"/>
        </w:rPr>
        <w:t>Committees of the board.</w:t>
      </w:r>
    </w:p>
    <w:p w:rsidR="00EB3C9F" w:rsidRPr="00061BD1" w:rsidRDefault="00EB3C9F">
      <w:pPr>
        <w:spacing w:after="200" w:line="320" w:lineRule="atLeast"/>
        <w:ind w:left="2000" w:hanging="1600"/>
        <w:rPr>
          <w:rFonts w:ascii="Times Roman" w:hAnsi="Times Roman" w:cs="Times Roman"/>
        </w:rPr>
      </w:pPr>
    </w:p>
    <w:p w:rsidR="00221D85" w:rsidRPr="00EB3C9F" w:rsidRDefault="00221D85" w:rsidP="00EB3C9F">
      <w:pPr>
        <w:spacing w:after="200"/>
        <w:ind w:left="800" w:hanging="500"/>
        <w:jc w:val="both"/>
        <w:rPr>
          <w:rFonts w:ascii="Times Roman" w:hAnsi="Times Roman" w:cs="Times Roman"/>
          <w:color w:val="auto"/>
        </w:rPr>
      </w:pPr>
      <w:r w:rsidRPr="00EB3C9F">
        <w:rPr>
          <w:rFonts w:ascii="Times Roman" w:hAnsi="Times Roman" w:cs="Times Roman"/>
          <w:color w:val="auto"/>
        </w:rPr>
        <w:t>(A) Standing committees.</w:t>
      </w:r>
    </w:p>
    <w:p w:rsidR="00221D85" w:rsidRPr="00EB3C9F" w:rsidRDefault="00221D85" w:rsidP="00EB3C9F">
      <w:pPr>
        <w:spacing w:after="200"/>
        <w:ind w:left="800"/>
        <w:jc w:val="both"/>
        <w:rPr>
          <w:rFonts w:ascii="Times Roman" w:hAnsi="Times Roman" w:cs="Times Roman"/>
          <w:color w:val="auto"/>
        </w:rPr>
      </w:pPr>
      <w:r w:rsidRPr="00EB3C9F">
        <w:rPr>
          <w:rFonts w:ascii="Times Roman" w:hAnsi="Times Roman" w:cs="Times Roman"/>
          <w:color w:val="auto"/>
        </w:rPr>
        <w:t>The members, chairperson and, if deemed necessary or desirable, vice chairperson(s) of each standing committee shall be appointed annually by the chairperson of the board. Each such committee shall be self-governed and may subdivide its work among subcommittees and perform its functions in such manner as the committee deems advisable. It may initiate proposals or act on proposals delegated to it by the board, or made to it by the board chairperson or president of the university, and shall make recommendations to the board for action. The functions of the standing committees, including such special duties as may be delegated by the board, shall in general be as follows:</w:t>
      </w:r>
    </w:p>
    <w:p w:rsidR="00221D85" w:rsidRPr="00EB3C9F" w:rsidRDefault="00221D85" w:rsidP="00EB3C9F">
      <w:pPr>
        <w:spacing w:after="200"/>
        <w:ind w:left="1200" w:hanging="500"/>
        <w:jc w:val="both"/>
        <w:rPr>
          <w:rFonts w:ascii="Times Roman" w:hAnsi="Times Roman" w:cs="Times Roman"/>
          <w:color w:val="auto"/>
        </w:rPr>
      </w:pPr>
      <w:r w:rsidRPr="00EB3C9F">
        <w:rPr>
          <w:rFonts w:ascii="Times Roman" w:hAnsi="Times Roman" w:cs="Times Roman"/>
          <w:color w:val="auto"/>
        </w:rPr>
        <w:t>(1) Academic issues and student success committee.</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(a) Consider and make recommendations concerning all policy matters requiring attention or action of the board relating to:</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(i) Faculty appointment, tenure, and status; academic planning and governance and educational policies; areas of instruction and degree programs; areas of research and related activities; student admissions; and other matters of policy governing or pertaining to academic and curricular affairs.</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(ii) Student engagement and success including enrollment services, advising and counseling, academic support programs, student development and conduct, student financial aid and scholarships, internships, student assistantships, intercollegiate athletics and other non-academic matters affecting students.</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(iii) Alumni structures, strategies and policies, including the promotion of relations with the university's alumni.</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(iv) Communication and marketing strategies, including positioning in rankings.</w:t>
      </w:r>
    </w:p>
    <w:p w:rsidR="00221D85" w:rsidRPr="00EB3C9F" w:rsidRDefault="00221D85" w:rsidP="00EB3C9F">
      <w:pPr>
        <w:spacing w:after="200"/>
        <w:ind w:left="1200" w:hanging="500"/>
        <w:jc w:val="both"/>
        <w:rPr>
          <w:rFonts w:ascii="Times Roman" w:hAnsi="Times Roman" w:cs="Times Roman"/>
          <w:color w:val="auto"/>
        </w:rPr>
      </w:pPr>
      <w:r w:rsidRPr="00EB3C9F">
        <w:rPr>
          <w:rFonts w:ascii="Times Roman" w:hAnsi="Times Roman" w:cs="Times Roman"/>
          <w:color w:val="auto"/>
        </w:rPr>
        <w:t>(2) Finance and administration committee.</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(a) Consider and make recommendations concerning all policy matters requiring attention or action of the board relating to:</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lastRenderedPageBreak/>
        <w:t>(i) The university budget and financial operations, as well as budget alignment with academic objectives and priorities, business organization and practice; the capital budget and plan; personnel appointments, changes of status, salary adjustments, and other personnel changes; placing and renewal of all insurance; borrowing of funds and issuance of bonds and notes; student tuition, fees, and other sources of university income; custody and investment of any funds which are now under or may in the future come under control of the board of trustees.</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(ii) Institutional fiscal health indicators, including senate bill 6 and measures of the higher learning commission of the north central association of colleges and schools.</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(iii) Submission of appropriation requests; and other such matters that involve the expenditure or commitment of funds related to capital planning and capital projects for the university, as well as facilities' quality and use for the academic mission; the location, planning, construction, renovation, demolition and maintenance of the university's physical plant, streets, grounds and capital equipment; the purchase, sale, and lease of real estate; the procedure for implementation of locally administered projects, and for the selection process for architects, engineers, construction managers and contractors.</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(iv) Solicitation of funds for present and future needs of the university; development policies and investments to support academic priorities; coordination of activities with the university of Akron foundation; the naming of buildings and other honorary designations; and relations with local, state and federal legislative and administrative agencies.</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(v) The preparation, conduct, or review of negotiations or bargaining sessions with bargaining agents for university employees concerning their compensation or other terms or conditions of employment.</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(b) This committee shall constitute the board's "investment committee" as required by section 3345.05 of the Revised Code, and shall be authorized to exercise that authority and responsibility provided by law for the investment committee.</w:t>
      </w:r>
    </w:p>
    <w:p w:rsidR="00221D85" w:rsidRPr="00EB3C9F" w:rsidRDefault="00C21BA4" w:rsidP="00EB3C9F">
      <w:pPr>
        <w:spacing w:after="200"/>
        <w:ind w:left="1200" w:hanging="500"/>
        <w:jc w:val="both"/>
        <w:rPr>
          <w:rFonts w:ascii="Times Roman" w:hAnsi="Times Roman" w:cs="Times Roman"/>
          <w:color w:val="auto"/>
        </w:rPr>
      </w:pPr>
      <w:r>
        <w:rPr>
          <w:rFonts w:ascii="Times Roman" w:hAnsi="Times Roman" w:cs="Times Roman"/>
          <w:color w:val="auto"/>
        </w:rPr>
        <w:br w:type="page"/>
      </w:r>
      <w:r w:rsidR="00221D85" w:rsidRPr="00EB3C9F">
        <w:rPr>
          <w:rFonts w:ascii="Times Roman" w:hAnsi="Times Roman" w:cs="Times Roman"/>
          <w:color w:val="auto"/>
        </w:rPr>
        <w:lastRenderedPageBreak/>
        <w:t>(3) Strategic issues committee.</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(a) Consider and make recommendations concerning the strategic position of the university and the strategic issues and priorities that, from time to time, require the board's focused attention. Such issues shall be assigned to the committee by the chairperson of the board and reflect areas critical to the successful performance of the institution's mission. In making assignments, the chairperson of the board shall avoid unnecessary duplication with other standing committees.</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(b) Collect and analyze data utilizing, when appropriate, comparisons, trends, goals and objectives, trend analysis, market comparisons, peer comparisons, norm comparisons, environmental comparisons, impact analysis, projections and forecasts, resource allocation models, presentation methods, and other similar measures.</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(c) Identify and, from time to time, inform the board and make recommendations with respect to local, state, national and international issues involving higher education and their potential impact upon the university of Akron.</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(d) Coordinate with the chairperson of the board the regular and structured delivery of reports to and reviews by the board of trustees from the administration through information sessions, executive sessions, and regular or special meetings of the board of trustees, as appropriate.</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(e) Identify, prioritize and assign projects related to strategic issues to other committees of the board as appropriate.</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(f) Consider and make recommendations to the board concerning the organization of the board and the individual involvement and fiduciary and legal role of trustees; the bylaws regarding the operation of the board and its committees; the board's operation and matters related to board and trustee assessment, trustee selection and trustee orientation; the expectation of trustees' comportment within the board and with the president and internal and external constituencies; the avoidance of conflict of interest or commitment or the appearance of same; board size, composition and organization; calendaring of university events for the board, its committees and individual trustees (including commencement); trustee roles and learning and professional development for trustees; a community business collaboration policy; and other matters assigned by the board or the chair of the board.</w:t>
      </w:r>
    </w:p>
    <w:p w:rsidR="00221D85" w:rsidRPr="00EB3C9F" w:rsidRDefault="00221D85" w:rsidP="00EB3C9F">
      <w:pPr>
        <w:spacing w:after="200"/>
        <w:ind w:left="1200" w:hanging="500"/>
        <w:jc w:val="both"/>
        <w:rPr>
          <w:rFonts w:ascii="Times Roman" w:hAnsi="Times Roman" w:cs="Times Roman"/>
          <w:color w:val="auto"/>
        </w:rPr>
      </w:pPr>
      <w:r w:rsidRPr="00EB3C9F">
        <w:rPr>
          <w:rFonts w:ascii="Times Roman" w:hAnsi="Times Roman" w:cs="Times Roman"/>
          <w:color w:val="auto"/>
        </w:rPr>
        <w:lastRenderedPageBreak/>
        <w:t>(4) Rules committee.</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(a) Consider and make recommendations concerning the adoption, amendment, and repeal of rules of the university required to be filed with the secretary of state. Such rules shall include but not be limited to, (i) any rule, regulation, bylaw, or standard adopted by the board of trustees, or pursuant to their rule-making authority; and, (ii) any rule, regulation, bylaw, or standard which has a general and uniform effect when applied to students, faculty, staff, or the general public, or to any identifiable class of students, faculty, staff, or the general public.</w:t>
      </w:r>
    </w:p>
    <w:p w:rsidR="00221D85" w:rsidRPr="00EB3C9F" w:rsidRDefault="00221D85" w:rsidP="00EB3C9F">
      <w:pPr>
        <w:spacing w:after="200"/>
        <w:ind w:left="1200" w:hanging="500"/>
        <w:jc w:val="both"/>
        <w:rPr>
          <w:rFonts w:ascii="Times Roman" w:hAnsi="Times Roman" w:cs="Times Roman"/>
          <w:color w:val="auto"/>
        </w:rPr>
      </w:pPr>
      <w:r w:rsidRPr="00EB3C9F">
        <w:rPr>
          <w:rFonts w:ascii="Times Roman" w:hAnsi="Times Roman" w:cs="Times Roman"/>
          <w:color w:val="auto"/>
        </w:rPr>
        <w:t>(5) Audit and compliance committee.</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(a) The primary responsibility of the audit and compliance committee is to provide oversight of the university's financial practices, compliance policies, internal controls, financial management, and standards of conduct.</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(b) The chairperson of the university of Akron board of trustees shall appoint the members and chairperson of the audit and compliance committee, which shall be comprised of five members of the board. The audit and compliance committee chairperson shall be one of these five members. The board chairperson shall be an ex-officio member of the audit and compliance committee who has the right, but not the obligation, to participate and vote in the proceedings of the committee, but is not counted in determining the number required for a quorum unless fewer than three voting members of the audit and compliance committee are present, in which case the chairperson may be counted for purposes of establishing a quorum. In making appointments to the audit and compliance committee, the chairperson of the board of trustees shall attempt to provide for reasonable continuity such that annually the committee includes one or more members who have had previous service on the audit and compliance committee.</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(c) Definition. "Independent" shall refer to a person who, other than in his or her capacity as a member of the audit and compliance committee, the board of trustees, or any other board committee:</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(i) Does not accept any consulting, advisory, or other compensatory fee from the university, its related entities, or its external auditor(s), unless consistent with the requirements, limitations, and prohibitions of the Ohio ethics law; and</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lastRenderedPageBreak/>
        <w:t>(ii) Has not accepted such compensation at any time in the year preceding the member's appointment to the audit and compliance committee, unless consistent with the requirements, limitations, and prohibitions of the Ohio ethics law.</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(d) Eligibility. Each member of the audit and compliance committee shall be a voting member of the board and shall be independent.</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(e) Consultants. The audit and compliance committee may obtain counsel, financial experts, or other expertise to advise the committee, or to assist in the conduct of an investigation. The audit and compliance committee may enlist the assistance of the university's administrators and employees as needed.</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(f) Review. The audit and compliance committee shall review and reassess this rule annually and recommend any proposed changes to the board, including changes that it deems to be necessary as a result of its work and/or new laws or regulations.</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(g) Meetings. The audit and compliance committee shall meet at least twice per year. The audit and compliance committee may ask members of the university administration or others to attend its meetings and provide pertinent information as necessary.</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(h) Executive sessions. The audit and compliance committee may conduct audit conferences as provided by law and may conduct executive sessions with the university's outside auditors, its general counsel, or outside counsel, or anyone else as desired by the audit and compliance committee and permitted by the Ohio "open meetings act."</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(i) Responsibilities. The audit and compliance committee shall:</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(i) Chief audit executive. Review and concur in the appointment, replacement, reassignment, or dismissal of the chief audit executive, who shall have a dual reporting responsibility to the senior vice president, provost and chief operating officer (COO) and to the audit and compliance committee.</w:t>
      </w:r>
    </w:p>
    <w:p w:rsidR="00221D85" w:rsidRPr="00EB3C9F" w:rsidRDefault="00221D85" w:rsidP="00EB3C9F">
      <w:pPr>
        <w:spacing w:after="200"/>
        <w:ind w:left="2000"/>
        <w:jc w:val="both"/>
        <w:rPr>
          <w:rFonts w:ascii="Times Roman" w:hAnsi="Times Roman" w:cs="Times Roman"/>
          <w:color w:val="auto"/>
        </w:rPr>
      </w:pPr>
      <w:r w:rsidRPr="00EB3C9F">
        <w:rPr>
          <w:rFonts w:ascii="Times Roman" w:hAnsi="Times Roman" w:cs="Times Roman"/>
          <w:color w:val="auto"/>
        </w:rPr>
        <w:t xml:space="preserve">The audit and compliance committee shall follow the guidance of the Institute of Internal Auditors Practice Advisory 1110-2 with respect to the distinction between functional and administrative reporting and shall develop and recommend for approval by the board of trustees for inclusion in this rule, those circumstances in </w:t>
      </w:r>
      <w:r w:rsidRPr="00EB3C9F">
        <w:rPr>
          <w:rFonts w:ascii="Times Roman" w:hAnsi="Times Roman" w:cs="Times Roman"/>
          <w:color w:val="auto"/>
        </w:rPr>
        <w:lastRenderedPageBreak/>
        <w:t>which the university chief audit executive shall report directly to the audit and compliance committee of the board of trustees, without prior or subsequent reporting to any institutional officer.</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(ii) Selection/retention of outside auditors. Recommend appointment of the outside auditors to be engaged by the university and which auditors shall report to the board through the audit and compliance committee, establish the audit fees of the outside auditors, and pre-approve any non-audit services provided by the outside auditors before the services are rendered. In general, the outside auditors may provide non-audit services to the extent that they are not auditing their own work, fulfilling the university administration's role, or advocating externally for the university.</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(iii) Evaluation of outside auditors. Review and evaluate the performance of the outside auditors and review with the full board any proposed discharge by the audit and compliance committee of the outside auditors.</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(iv) Duration of audit partners. Ascertain that the lead or concurring audit partner, as well as any partner other than the lead or concurring partner, from the outside auditors serves in such capacity for a period of reasonable duration, consistent with then best practices for non-profit entities.</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(v) Communications with outside auditors. Review all material written communications between the outside auditors and university administrators, such as any management letter, schedule of findings, or schedule of unadjusted differences.</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(vi) Risks. Inquire of university administrators, the chief audit executive, and the outside auditors about significant risks or exposures facing the university; assess the steps the university administration has taken or proposes to take to minimize such risks to the university; and periodically review compliance with such steps.</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(vii) Audit function. Review with the university's administrators and the outside auditors, the vice president for finance and administration and "CFO," and the chief audit executive, the audit scope and plans of the chief audit executive and the outside auditors; and address the coordination of audit efforts to assure the completeness of coverage, reduction of redundant efforts, and the effective use of the audit resources.</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lastRenderedPageBreak/>
        <w:t>(viii) Internal reviews. Conduct internal reviews by reviewing with the university administration and the chief audit executive:</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(a) Significant findings on internal audits during the year and the university administration's responses thereto;</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(b) Any difficulties the internal audit team encountered in the course of their audits, including any restrictions on the scope of their work or access to required information;</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(c) Any changes required in the scope of their internal audit;</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(d) The internal auditing office budget and staffing;</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(e) The internal auditing office charter; and</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(f) Policies and procedures with respect to officers' expense accounts and prerequisites, including their use of university assets and any available review of these areas.</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(ix) Controls. Review with the outside auditors and the chief audit executive:</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(a) The adequacy of the university's internal controls including computerized information system controls and security; and</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(b) Any related significant findings and recommendations of the outside auditors and internal auditing office together with the university's responses thereto.</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(x) Laws and regulations. Review with the general counsel and the chief audit executive legal and regulatory matters that, in the opinion of university administrators, may have a material impact on the financial statements, related university compliance policies, and programs and reports received from regulators.</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(xi) Financial statements. Review with the university's administrators and the outside auditors:</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(a) The university's annual financial statements and related footnotes;</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(b) The outside auditors' audit of the financial statements and their reports thereon;</w:t>
      </w:r>
    </w:p>
    <w:p w:rsidR="00221D85" w:rsidRPr="00EB3C9F" w:rsidRDefault="00C21BA4" w:rsidP="00EB3C9F">
      <w:pPr>
        <w:spacing w:after="200"/>
        <w:ind w:left="2400" w:hanging="500"/>
        <w:jc w:val="both"/>
        <w:rPr>
          <w:rFonts w:ascii="Times Roman" w:hAnsi="Times Roman" w:cs="Times Roman"/>
          <w:color w:val="auto"/>
        </w:rPr>
      </w:pPr>
      <w:r>
        <w:rPr>
          <w:rFonts w:ascii="Times Roman" w:hAnsi="Times Roman" w:cs="Times Roman"/>
          <w:color w:val="auto"/>
        </w:rPr>
        <w:br w:type="page"/>
      </w:r>
      <w:r w:rsidR="00221D85" w:rsidRPr="00EB3C9F">
        <w:rPr>
          <w:rFonts w:ascii="Times Roman" w:hAnsi="Times Roman" w:cs="Times Roman"/>
          <w:color w:val="auto"/>
        </w:rPr>
        <w:lastRenderedPageBreak/>
        <w:t>(c) Any significant changes required in or indicated for the outside auditors' audit plan; and</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(d) Any serious difficulties or disputes with the university's administrators which are encountered during the audit.</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(xii) Codes of conduct. Periodically review applicable federal and state laws regarding codes of conduct and similar compliance requirements and standards, including, but not limited to, the university's conflict of interest, conflict of commitment, scholarly misconduct, and ethical conduct policies and procedures located in rule 3359-11-17 of the Administrative Code, to ensure that they are adequate and up-to-date, easy to access and understand, widely communicated, clear as to how to report concerns or ask questions, and complete with a conflict of interest policy; and review with the chief audit executive and the general counsel the results of their monitoring of compliance of such policies and procedures.</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(xiii) Alerts. Review procedures for the receipt of information, anonymous or otherwise, raising concerns regarding questionable accounting or auditing matters or wrongdoing, and review any submissions that have been received, the current status, and the resolution, if one has been reached.</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t>(xiv) Compliance. Coordinate with the chairperson of the board the regular and structured delivery of reports to and reviews by the board of trustees from the administration through information sessions, executive sessions, and regular or special meetings of the board of trustees, as appropriate on subject matters that may include, but shall not be limited to:</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(a) legal reviews;</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(b) health, safety and environmental reviews for all property owned, leased, or operated by the university;</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(c) intellectual property, technology transfer and entrepreneurial activity reviews;</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(d) affiliated entity reviews;</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(e) compliance reviews; and</w:t>
      </w:r>
    </w:p>
    <w:p w:rsidR="00221D85" w:rsidRPr="00EB3C9F" w:rsidRDefault="00221D85" w:rsidP="00EB3C9F">
      <w:pPr>
        <w:spacing w:after="200"/>
        <w:ind w:left="2400" w:hanging="500"/>
        <w:jc w:val="both"/>
        <w:rPr>
          <w:rFonts w:ascii="Times Roman" w:hAnsi="Times Roman" w:cs="Times Roman"/>
          <w:color w:val="auto"/>
        </w:rPr>
      </w:pPr>
      <w:r w:rsidRPr="00EB3C9F">
        <w:rPr>
          <w:rFonts w:ascii="Times Roman" w:hAnsi="Times Roman" w:cs="Times Roman"/>
          <w:color w:val="auto"/>
        </w:rPr>
        <w:t>(f) corporate governance, fiduciary and conflict reviews.</w:t>
      </w:r>
    </w:p>
    <w:p w:rsidR="00221D85" w:rsidRPr="00EB3C9F" w:rsidRDefault="00221D85" w:rsidP="00EB3C9F">
      <w:pPr>
        <w:spacing w:after="200"/>
        <w:ind w:left="2000" w:hanging="500"/>
        <w:jc w:val="both"/>
        <w:rPr>
          <w:rFonts w:ascii="Times Roman" w:hAnsi="Times Roman" w:cs="Times Roman"/>
          <w:color w:val="auto"/>
        </w:rPr>
      </w:pPr>
      <w:r w:rsidRPr="00EB3C9F">
        <w:rPr>
          <w:rFonts w:ascii="Times Roman" w:hAnsi="Times Roman" w:cs="Times Roman"/>
          <w:color w:val="auto"/>
        </w:rPr>
        <w:lastRenderedPageBreak/>
        <w:t>(xv) General. Perform such other functions as may be required by law, the university of Akron board of trustees' bylaws, or the university of Akron board of trustees.</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(j) Reporting. The audit and compliance committee shall regularly apprise the board of its activities and recommendations.</w:t>
      </w:r>
    </w:p>
    <w:p w:rsidR="00221D85" w:rsidRPr="00EB3C9F" w:rsidRDefault="00221D85" w:rsidP="00EB3C9F">
      <w:pPr>
        <w:spacing w:after="200"/>
        <w:ind w:left="1200" w:hanging="500"/>
        <w:jc w:val="both"/>
        <w:rPr>
          <w:rFonts w:ascii="Times Roman" w:hAnsi="Times Roman" w:cs="Times Roman"/>
          <w:color w:val="auto"/>
        </w:rPr>
      </w:pPr>
      <w:r w:rsidRPr="00EB3C9F">
        <w:rPr>
          <w:rFonts w:ascii="Times Roman" w:hAnsi="Times Roman" w:cs="Times Roman"/>
          <w:color w:val="auto"/>
        </w:rPr>
        <w:t>(6) The personnel and compensation committee.</w:t>
      </w:r>
    </w:p>
    <w:p w:rsidR="00221D85" w:rsidRPr="00EB3C9F" w:rsidRDefault="00221D85" w:rsidP="00EB3C9F">
      <w:pPr>
        <w:spacing w:after="200"/>
        <w:ind w:left="1600" w:hanging="500"/>
        <w:jc w:val="both"/>
        <w:rPr>
          <w:rFonts w:ascii="Times Roman" w:hAnsi="Times Roman" w:cs="Times Roman"/>
          <w:color w:val="auto"/>
        </w:rPr>
      </w:pPr>
      <w:r w:rsidRPr="00EB3C9F">
        <w:rPr>
          <w:rFonts w:ascii="Times Roman" w:hAnsi="Times Roman" w:cs="Times Roman"/>
          <w:color w:val="auto"/>
        </w:rPr>
        <w:t>(a) Oversee on behalf of the board of trustees the overall employment and compensation practices, policies and procedures of the university, and recommend to the board of trustees the adoption of policies to guide such practices. This committee shall consider and make recommendations to the board of trustees on matters of employment involving the president of the university, and recommendations of the president regarding university officers. The personnel and compensation committee shall be authorized to engage the professional services of consultants as deemed warranted by the committee and shall be authorized to enlist the assistance of other members of the board of trustees and of the administration as needed.</w:t>
      </w:r>
    </w:p>
    <w:p w:rsidR="00221D85" w:rsidRPr="00EB3C9F" w:rsidRDefault="00221D85" w:rsidP="00EB3C9F">
      <w:pPr>
        <w:spacing w:after="200"/>
        <w:ind w:left="1200" w:hanging="500"/>
        <w:jc w:val="both"/>
        <w:rPr>
          <w:rFonts w:ascii="Times Roman" w:hAnsi="Times Roman" w:cs="Times Roman"/>
          <w:color w:val="auto"/>
        </w:rPr>
      </w:pPr>
      <w:r w:rsidRPr="00EB3C9F">
        <w:rPr>
          <w:rFonts w:ascii="Times Roman" w:hAnsi="Times Roman" w:cs="Times Roman"/>
          <w:color w:val="auto"/>
        </w:rPr>
        <w:t>(7) The chairperson of the board and the president of the university shall be ex-officio members of each standing committee. Whereas the chairperson shall have power to vote, the president shall be without power to vote. Questions involving assignments or duties of committees of the board shall be decided by the chairperson.</w:t>
      </w:r>
    </w:p>
    <w:p w:rsidR="00221D85" w:rsidRPr="00EB3C9F" w:rsidRDefault="00221D85" w:rsidP="00EB3C9F">
      <w:pPr>
        <w:spacing w:after="200"/>
        <w:ind w:left="1200" w:hanging="500"/>
        <w:jc w:val="both"/>
        <w:rPr>
          <w:rFonts w:ascii="Times Roman" w:hAnsi="Times Roman" w:cs="Times Roman"/>
          <w:color w:val="auto"/>
        </w:rPr>
      </w:pPr>
      <w:r w:rsidRPr="00EB3C9F">
        <w:rPr>
          <w:rFonts w:ascii="Times Roman" w:hAnsi="Times Roman" w:cs="Times Roman"/>
          <w:color w:val="auto"/>
        </w:rPr>
        <w:t>(8) Between meetings of the board, the board may request its standing committees to make recommendations within their respective spheres as they deem necessary and to report any recommendations they make by virtue of this authority to the board at a regular or special meeting for ratification by the board. However, committees shall not be empowered to act for the board; but committees may act or recommend action within their respective spheres subject to approval or ratification by the board. It is the purpose of this provision to establish that the board shall conduct its business and take official action only at regular or special meetings of the board as provided in these bylaws. Moreover, each individual committee shall annually review its charge and work with a view of keeping with best practice.</w:t>
      </w:r>
    </w:p>
    <w:p w:rsidR="00221D85" w:rsidRPr="00EB3C9F" w:rsidRDefault="00221D85" w:rsidP="00EB3C9F">
      <w:pPr>
        <w:spacing w:after="200"/>
        <w:ind w:left="800" w:hanging="500"/>
        <w:jc w:val="both"/>
        <w:rPr>
          <w:rFonts w:ascii="Times Roman" w:hAnsi="Times Roman" w:cs="Times Roman"/>
          <w:color w:val="auto"/>
        </w:rPr>
      </w:pPr>
      <w:r w:rsidRPr="00EB3C9F">
        <w:rPr>
          <w:rFonts w:ascii="Times Roman" w:hAnsi="Times Roman" w:cs="Times Roman"/>
          <w:color w:val="auto"/>
        </w:rPr>
        <w:t>(B) Special committees.</w:t>
      </w:r>
    </w:p>
    <w:p w:rsidR="00221D85" w:rsidRPr="00EB3C9F" w:rsidRDefault="00221D85" w:rsidP="00EB3C9F">
      <w:pPr>
        <w:spacing w:after="200"/>
        <w:ind w:left="800"/>
        <w:jc w:val="both"/>
        <w:rPr>
          <w:rFonts w:ascii="Times Roman" w:hAnsi="Times Roman" w:cs="Times Roman"/>
          <w:color w:val="auto"/>
        </w:rPr>
      </w:pPr>
      <w:r w:rsidRPr="00EB3C9F">
        <w:rPr>
          <w:rFonts w:ascii="Times Roman" w:hAnsi="Times Roman" w:cs="Times Roman"/>
          <w:color w:val="auto"/>
        </w:rPr>
        <w:t>Special committees may be appointed by the chairperson for such purposes as the board may, from time to time, authorize and direct.</w:t>
      </w:r>
    </w:p>
    <w:p w:rsidR="00221D85" w:rsidRPr="00EB3C9F" w:rsidRDefault="00221D85" w:rsidP="00EB3C9F">
      <w:pPr>
        <w:spacing w:after="200"/>
        <w:ind w:left="800" w:hanging="500"/>
        <w:jc w:val="both"/>
        <w:rPr>
          <w:rFonts w:ascii="Times Roman" w:hAnsi="Times Roman" w:cs="Times Roman"/>
          <w:color w:val="auto"/>
        </w:rPr>
      </w:pPr>
      <w:r w:rsidRPr="00EB3C9F">
        <w:rPr>
          <w:rFonts w:ascii="Times Roman" w:hAnsi="Times Roman" w:cs="Times Roman"/>
          <w:color w:val="auto"/>
        </w:rPr>
        <w:lastRenderedPageBreak/>
        <w:t>(C) Advisory committees.</w:t>
      </w:r>
    </w:p>
    <w:p w:rsidR="00221D85" w:rsidRDefault="00221D85" w:rsidP="00EB3C9F">
      <w:pPr>
        <w:spacing w:after="200"/>
        <w:ind w:left="800"/>
        <w:jc w:val="both"/>
        <w:rPr>
          <w:rFonts w:ascii="Times Roman" w:hAnsi="Times Roman" w:cs="Times Roman"/>
          <w:color w:val="auto"/>
        </w:rPr>
      </w:pPr>
      <w:r w:rsidRPr="00EB3C9F">
        <w:rPr>
          <w:rFonts w:ascii="Times Roman" w:hAnsi="Times Roman" w:cs="Times Roman"/>
          <w:color w:val="auto"/>
        </w:rPr>
        <w:t>Advisory committees may, from time to time, be authorized by the board and appointed by the chairperson for permanent or temporary service in a consultative or advisory capacity. Persons who are not members of the board shall be eligible for membership thereon.</w:t>
      </w:r>
    </w:p>
    <w:p w:rsidR="00C21BA4" w:rsidRDefault="00C21BA4" w:rsidP="00EB3C9F">
      <w:pPr>
        <w:spacing w:after="200"/>
        <w:ind w:left="800"/>
        <w:jc w:val="both"/>
        <w:rPr>
          <w:rFonts w:ascii="Times Roman" w:hAnsi="Times Roman" w:cs="Times Roman"/>
          <w:color w:val="auto"/>
        </w:rPr>
      </w:pPr>
    </w:p>
    <w:p w:rsidR="00C21BA4" w:rsidRDefault="00C21BA4" w:rsidP="00C21BA4">
      <w:pPr>
        <w:widowControl/>
        <w:ind w:left="270"/>
        <w:rPr>
          <w:rFonts w:ascii="Times New Roman" w:hAnsi="Times New Roman" w:cs="Times New Roman"/>
          <w:color w:val="auto"/>
        </w:rPr>
      </w:pPr>
      <w:r w:rsidRPr="00C21BA4">
        <w:rPr>
          <w:rFonts w:ascii="Times New Roman" w:hAnsi="Times New Roman" w:cs="Times New Roman"/>
          <w:color w:val="auto"/>
        </w:rPr>
        <w:t xml:space="preserve">Replaces: </w:t>
      </w:r>
      <w:r w:rsidR="00F0542D">
        <w:rPr>
          <w:rFonts w:ascii="Times New Roman" w:hAnsi="Times New Roman" w:cs="Times New Roman"/>
          <w:color w:val="auto"/>
        </w:rPr>
        <w:tab/>
      </w:r>
      <w:r w:rsidR="00F0542D">
        <w:rPr>
          <w:rFonts w:ascii="Times New Roman" w:hAnsi="Times New Roman" w:cs="Times New Roman"/>
          <w:color w:val="auto"/>
        </w:rPr>
        <w:tab/>
      </w:r>
      <w:r w:rsidR="00F0542D">
        <w:rPr>
          <w:rFonts w:ascii="Times New Roman" w:hAnsi="Times New Roman" w:cs="Times New Roman"/>
          <w:color w:val="auto"/>
        </w:rPr>
        <w:tab/>
      </w:r>
      <w:r w:rsidR="00F0542D">
        <w:rPr>
          <w:rFonts w:ascii="Times New Roman" w:hAnsi="Times New Roman" w:cs="Times New Roman"/>
          <w:color w:val="auto"/>
        </w:rPr>
        <w:tab/>
      </w:r>
      <w:r w:rsidR="00F0542D">
        <w:rPr>
          <w:rFonts w:ascii="Times New Roman" w:hAnsi="Times New Roman" w:cs="Times New Roman"/>
          <w:color w:val="auto"/>
        </w:rPr>
        <w:tab/>
      </w:r>
      <w:r w:rsidRPr="00C21BA4">
        <w:rPr>
          <w:rFonts w:ascii="Times New Roman" w:hAnsi="Times New Roman" w:cs="Times New Roman"/>
          <w:color w:val="auto"/>
        </w:rPr>
        <w:t>3359-1-03</w:t>
      </w:r>
    </w:p>
    <w:p w:rsidR="00546A79" w:rsidRPr="00C21BA4" w:rsidRDefault="00546A79" w:rsidP="00C21BA4">
      <w:pPr>
        <w:widowControl/>
        <w:ind w:left="270"/>
        <w:rPr>
          <w:rFonts w:ascii="Times New Roman" w:hAnsi="Times New Roman" w:cs="Times New Roman"/>
          <w:color w:val="auto"/>
        </w:rPr>
      </w:pPr>
    </w:p>
    <w:p w:rsidR="00C21BA4" w:rsidRDefault="00C21BA4" w:rsidP="00C21BA4">
      <w:pPr>
        <w:widowControl/>
        <w:ind w:left="270"/>
        <w:rPr>
          <w:rFonts w:ascii="Times New Roman" w:hAnsi="Times New Roman" w:cs="Times New Roman"/>
          <w:color w:val="auto"/>
        </w:rPr>
      </w:pPr>
      <w:r w:rsidRPr="00C21BA4">
        <w:rPr>
          <w:rFonts w:ascii="Times New Roman" w:hAnsi="Times New Roman" w:cs="Times New Roman"/>
          <w:color w:val="auto"/>
        </w:rPr>
        <w:t xml:space="preserve">Effective: </w:t>
      </w:r>
      <w:r w:rsidR="00F0542D">
        <w:rPr>
          <w:rFonts w:ascii="Times New Roman" w:hAnsi="Times New Roman" w:cs="Times New Roman"/>
          <w:color w:val="auto"/>
        </w:rPr>
        <w:tab/>
      </w:r>
      <w:r w:rsidR="00F0542D">
        <w:rPr>
          <w:rFonts w:ascii="Times New Roman" w:hAnsi="Times New Roman" w:cs="Times New Roman"/>
          <w:color w:val="auto"/>
        </w:rPr>
        <w:tab/>
      </w:r>
      <w:r w:rsidR="00F0542D">
        <w:rPr>
          <w:rFonts w:ascii="Times New Roman" w:hAnsi="Times New Roman" w:cs="Times New Roman"/>
          <w:color w:val="auto"/>
        </w:rPr>
        <w:tab/>
      </w:r>
      <w:r w:rsidR="00F0542D">
        <w:rPr>
          <w:rFonts w:ascii="Times New Roman" w:hAnsi="Times New Roman" w:cs="Times New Roman"/>
          <w:color w:val="auto"/>
        </w:rPr>
        <w:tab/>
      </w:r>
      <w:r w:rsidR="00F0542D">
        <w:rPr>
          <w:rFonts w:ascii="Times New Roman" w:hAnsi="Times New Roman" w:cs="Times New Roman"/>
          <w:color w:val="auto"/>
        </w:rPr>
        <w:tab/>
      </w:r>
      <w:r w:rsidRPr="00C21BA4">
        <w:rPr>
          <w:rFonts w:ascii="Times New Roman" w:hAnsi="Times New Roman" w:cs="Times New Roman"/>
          <w:color w:val="auto"/>
        </w:rPr>
        <w:t>01/31/2015</w:t>
      </w:r>
    </w:p>
    <w:p w:rsidR="00546A79" w:rsidRPr="00C21BA4" w:rsidRDefault="00546A79" w:rsidP="00C21BA4">
      <w:pPr>
        <w:widowControl/>
        <w:ind w:left="270"/>
        <w:rPr>
          <w:rFonts w:ascii="Times New Roman" w:hAnsi="Times New Roman" w:cs="Times New Roman"/>
          <w:color w:val="auto"/>
        </w:rPr>
      </w:pPr>
    </w:p>
    <w:p w:rsidR="00C21BA4" w:rsidRPr="00C21BA4" w:rsidRDefault="00C21BA4" w:rsidP="00C21BA4">
      <w:pPr>
        <w:widowControl/>
        <w:ind w:left="270"/>
        <w:rPr>
          <w:rFonts w:ascii="Times New Roman" w:hAnsi="Times New Roman" w:cs="Times New Roman"/>
          <w:color w:val="auto"/>
        </w:rPr>
      </w:pPr>
      <w:r w:rsidRPr="00C21BA4">
        <w:rPr>
          <w:rFonts w:ascii="Times New Roman" w:hAnsi="Times New Roman" w:cs="Times New Roman"/>
          <w:color w:val="auto"/>
        </w:rPr>
        <w:t>Certification:</w:t>
      </w:r>
      <w:r w:rsidR="00F0542D">
        <w:rPr>
          <w:rFonts w:ascii="Times New Roman" w:hAnsi="Times New Roman" w:cs="Times New Roman"/>
          <w:color w:val="auto"/>
        </w:rPr>
        <w:tab/>
      </w:r>
      <w:r w:rsidR="00F0542D">
        <w:rPr>
          <w:rFonts w:ascii="Times New Roman" w:hAnsi="Times New Roman" w:cs="Times New Roman"/>
          <w:color w:val="auto"/>
        </w:rPr>
        <w:tab/>
      </w:r>
      <w:r w:rsidR="00F0542D">
        <w:rPr>
          <w:rFonts w:ascii="Times New Roman" w:hAnsi="Times New Roman" w:cs="Times New Roman"/>
          <w:color w:val="auto"/>
        </w:rPr>
        <w:tab/>
      </w:r>
      <w:r w:rsidR="00F0542D">
        <w:rPr>
          <w:rFonts w:ascii="Times New Roman" w:hAnsi="Times New Roman" w:cs="Times New Roman"/>
          <w:color w:val="auto"/>
        </w:rPr>
        <w:tab/>
      </w:r>
      <w:r w:rsidRPr="00C21BA4">
        <w:rPr>
          <w:rFonts w:ascii="Times New Roman" w:hAnsi="Times New Roman" w:cs="Times New Roman"/>
          <w:color w:val="auto"/>
        </w:rPr>
        <w:t>_______________________________</w:t>
      </w:r>
    </w:p>
    <w:p w:rsidR="00C21BA4" w:rsidRPr="00C21BA4" w:rsidRDefault="00C21BA4" w:rsidP="00F0542D">
      <w:pPr>
        <w:widowControl/>
        <w:ind w:left="3870" w:firstLine="450"/>
        <w:rPr>
          <w:rFonts w:ascii="Times New Roman" w:hAnsi="Times New Roman" w:cs="Times New Roman"/>
          <w:color w:val="auto"/>
        </w:rPr>
      </w:pPr>
      <w:r w:rsidRPr="00C21BA4">
        <w:rPr>
          <w:rFonts w:ascii="Times New Roman" w:hAnsi="Times New Roman" w:cs="Times New Roman"/>
          <w:color w:val="auto"/>
        </w:rPr>
        <w:t>Ted A. Mallo</w:t>
      </w:r>
    </w:p>
    <w:p w:rsidR="00C21BA4" w:rsidRPr="00C21BA4" w:rsidRDefault="00C21BA4" w:rsidP="00F0542D">
      <w:pPr>
        <w:widowControl/>
        <w:ind w:left="3870" w:firstLine="450"/>
        <w:rPr>
          <w:rFonts w:ascii="Times New Roman" w:hAnsi="Times New Roman" w:cs="Times New Roman"/>
          <w:color w:val="auto"/>
        </w:rPr>
      </w:pPr>
      <w:r w:rsidRPr="00C21BA4">
        <w:rPr>
          <w:rFonts w:ascii="Times New Roman" w:hAnsi="Times New Roman" w:cs="Times New Roman"/>
          <w:color w:val="auto"/>
        </w:rPr>
        <w:t>Secretary</w:t>
      </w:r>
    </w:p>
    <w:p w:rsidR="00C21BA4" w:rsidRDefault="00C21BA4" w:rsidP="00F0542D">
      <w:pPr>
        <w:widowControl/>
        <w:ind w:left="3870" w:firstLine="450"/>
        <w:rPr>
          <w:rFonts w:ascii="Times New Roman" w:hAnsi="Times New Roman" w:cs="Times New Roman"/>
          <w:color w:val="auto"/>
        </w:rPr>
      </w:pPr>
      <w:r w:rsidRPr="00C21BA4">
        <w:rPr>
          <w:rFonts w:ascii="Times New Roman" w:hAnsi="Times New Roman" w:cs="Times New Roman"/>
          <w:color w:val="auto"/>
        </w:rPr>
        <w:t>Board of Trustees</w:t>
      </w:r>
    </w:p>
    <w:p w:rsidR="00546A79" w:rsidRPr="00C21BA4" w:rsidRDefault="00546A79" w:rsidP="00F0542D">
      <w:pPr>
        <w:widowControl/>
        <w:ind w:left="3870" w:firstLine="450"/>
        <w:rPr>
          <w:rFonts w:ascii="Times New Roman" w:hAnsi="Times New Roman" w:cs="Times New Roman"/>
          <w:color w:val="auto"/>
        </w:rPr>
      </w:pPr>
    </w:p>
    <w:p w:rsidR="00C21BA4" w:rsidRDefault="00C21BA4" w:rsidP="00C21BA4">
      <w:pPr>
        <w:widowControl/>
        <w:ind w:left="270"/>
        <w:rPr>
          <w:rFonts w:ascii="Times New Roman" w:hAnsi="Times New Roman" w:cs="Times New Roman"/>
          <w:color w:val="auto"/>
        </w:rPr>
      </w:pPr>
      <w:r w:rsidRPr="00C21BA4">
        <w:rPr>
          <w:rFonts w:ascii="Times New Roman" w:hAnsi="Times New Roman" w:cs="Times New Roman"/>
          <w:color w:val="auto"/>
        </w:rPr>
        <w:t xml:space="preserve">Promulgated Under: </w:t>
      </w:r>
      <w:r w:rsidR="00F0542D">
        <w:rPr>
          <w:rFonts w:ascii="Times New Roman" w:hAnsi="Times New Roman" w:cs="Times New Roman"/>
          <w:color w:val="auto"/>
        </w:rPr>
        <w:tab/>
      </w:r>
      <w:r w:rsidR="00F0542D">
        <w:rPr>
          <w:rFonts w:ascii="Times New Roman" w:hAnsi="Times New Roman" w:cs="Times New Roman"/>
          <w:color w:val="auto"/>
        </w:rPr>
        <w:tab/>
      </w:r>
      <w:r w:rsidR="00F0542D">
        <w:rPr>
          <w:rFonts w:ascii="Times New Roman" w:hAnsi="Times New Roman" w:cs="Times New Roman"/>
          <w:color w:val="auto"/>
        </w:rPr>
        <w:tab/>
      </w:r>
      <w:r w:rsidRPr="00C21BA4">
        <w:rPr>
          <w:rFonts w:ascii="Times New Roman" w:hAnsi="Times New Roman" w:cs="Times New Roman"/>
          <w:color w:val="auto"/>
        </w:rPr>
        <w:t>111.15</w:t>
      </w:r>
    </w:p>
    <w:p w:rsidR="00546A79" w:rsidRPr="00C21BA4" w:rsidRDefault="00546A79" w:rsidP="00C21BA4">
      <w:pPr>
        <w:widowControl/>
        <w:ind w:left="270"/>
        <w:rPr>
          <w:rFonts w:ascii="Times New Roman" w:hAnsi="Times New Roman" w:cs="Times New Roman"/>
          <w:color w:val="auto"/>
        </w:rPr>
      </w:pPr>
    </w:p>
    <w:p w:rsidR="00C21BA4" w:rsidRDefault="00C21BA4" w:rsidP="00C21BA4">
      <w:pPr>
        <w:widowControl/>
        <w:ind w:left="270"/>
        <w:rPr>
          <w:rFonts w:ascii="Times New Roman" w:hAnsi="Times New Roman" w:cs="Times New Roman"/>
          <w:color w:val="auto"/>
        </w:rPr>
      </w:pPr>
      <w:r w:rsidRPr="00C21BA4">
        <w:rPr>
          <w:rFonts w:ascii="Times New Roman" w:hAnsi="Times New Roman" w:cs="Times New Roman"/>
          <w:color w:val="auto"/>
        </w:rPr>
        <w:t xml:space="preserve">Statutory Authority: </w:t>
      </w:r>
      <w:r w:rsidR="00F0542D">
        <w:rPr>
          <w:rFonts w:ascii="Times New Roman" w:hAnsi="Times New Roman" w:cs="Times New Roman"/>
          <w:color w:val="auto"/>
        </w:rPr>
        <w:tab/>
      </w:r>
      <w:r w:rsidR="00F0542D">
        <w:rPr>
          <w:rFonts w:ascii="Times New Roman" w:hAnsi="Times New Roman" w:cs="Times New Roman"/>
          <w:color w:val="auto"/>
        </w:rPr>
        <w:tab/>
      </w:r>
      <w:r w:rsidR="00F0542D">
        <w:rPr>
          <w:rFonts w:ascii="Times New Roman" w:hAnsi="Times New Roman" w:cs="Times New Roman"/>
          <w:color w:val="auto"/>
        </w:rPr>
        <w:tab/>
      </w:r>
      <w:r w:rsidRPr="00C21BA4">
        <w:rPr>
          <w:rFonts w:ascii="Times New Roman" w:hAnsi="Times New Roman" w:cs="Times New Roman"/>
          <w:color w:val="auto"/>
        </w:rPr>
        <w:t>3359.01</w:t>
      </w:r>
    </w:p>
    <w:p w:rsidR="00546A79" w:rsidRPr="00C21BA4" w:rsidRDefault="00546A79" w:rsidP="00C21BA4">
      <w:pPr>
        <w:widowControl/>
        <w:ind w:left="270"/>
        <w:rPr>
          <w:rFonts w:ascii="Times New Roman" w:hAnsi="Times New Roman" w:cs="Times New Roman"/>
          <w:color w:val="auto"/>
        </w:rPr>
      </w:pPr>
    </w:p>
    <w:p w:rsidR="00C21BA4" w:rsidRDefault="00C21BA4" w:rsidP="00C21BA4">
      <w:pPr>
        <w:widowControl/>
        <w:ind w:left="270"/>
        <w:rPr>
          <w:rFonts w:ascii="Times New Roman" w:hAnsi="Times New Roman" w:cs="Times New Roman"/>
          <w:color w:val="auto"/>
        </w:rPr>
      </w:pPr>
      <w:r w:rsidRPr="00C21BA4">
        <w:rPr>
          <w:rFonts w:ascii="Times New Roman" w:hAnsi="Times New Roman" w:cs="Times New Roman"/>
          <w:color w:val="auto"/>
        </w:rPr>
        <w:t>Rule Amplifies:</w:t>
      </w:r>
      <w:r w:rsidR="00F0542D">
        <w:rPr>
          <w:rFonts w:ascii="Times New Roman" w:hAnsi="Times New Roman" w:cs="Times New Roman"/>
          <w:color w:val="auto"/>
        </w:rPr>
        <w:tab/>
      </w:r>
      <w:r w:rsidR="00F0542D">
        <w:rPr>
          <w:rFonts w:ascii="Times New Roman" w:hAnsi="Times New Roman" w:cs="Times New Roman"/>
          <w:color w:val="auto"/>
        </w:rPr>
        <w:tab/>
      </w:r>
      <w:r w:rsidR="00F0542D">
        <w:rPr>
          <w:rFonts w:ascii="Times New Roman" w:hAnsi="Times New Roman" w:cs="Times New Roman"/>
          <w:color w:val="auto"/>
        </w:rPr>
        <w:tab/>
      </w:r>
      <w:r w:rsidR="00F0542D">
        <w:rPr>
          <w:rFonts w:ascii="Times New Roman" w:hAnsi="Times New Roman" w:cs="Times New Roman"/>
          <w:color w:val="auto"/>
        </w:rPr>
        <w:tab/>
      </w:r>
      <w:r w:rsidRPr="00C21BA4">
        <w:rPr>
          <w:rFonts w:ascii="Times New Roman" w:hAnsi="Times New Roman" w:cs="Times New Roman"/>
          <w:color w:val="auto"/>
        </w:rPr>
        <w:t>3359.01</w:t>
      </w:r>
    </w:p>
    <w:p w:rsidR="00546A79" w:rsidRPr="00C21BA4" w:rsidRDefault="00546A79" w:rsidP="00C21BA4">
      <w:pPr>
        <w:widowControl/>
        <w:ind w:left="270"/>
        <w:rPr>
          <w:rFonts w:ascii="Times New Roman" w:hAnsi="Times New Roman" w:cs="Times New Roman"/>
          <w:color w:val="auto"/>
        </w:rPr>
      </w:pPr>
    </w:p>
    <w:p w:rsidR="00C21BA4" w:rsidRPr="00C21BA4" w:rsidRDefault="00C21BA4" w:rsidP="00F0542D">
      <w:pPr>
        <w:widowControl/>
        <w:ind w:left="4320" w:hanging="4050"/>
        <w:rPr>
          <w:rFonts w:ascii="Times New Roman" w:hAnsi="Times New Roman" w:cs="Times New Roman"/>
          <w:color w:val="auto"/>
        </w:rPr>
      </w:pPr>
      <w:r w:rsidRPr="00C21BA4">
        <w:rPr>
          <w:rFonts w:ascii="Times New Roman" w:hAnsi="Times New Roman" w:cs="Times New Roman"/>
          <w:color w:val="auto"/>
        </w:rPr>
        <w:t xml:space="preserve">Prior Effective Dates: </w:t>
      </w:r>
      <w:r w:rsidR="00F0542D">
        <w:rPr>
          <w:rFonts w:ascii="Times New Roman" w:hAnsi="Times New Roman" w:cs="Times New Roman"/>
          <w:color w:val="auto"/>
        </w:rPr>
        <w:tab/>
      </w:r>
      <w:r w:rsidRPr="00C21BA4">
        <w:rPr>
          <w:rFonts w:ascii="Times New Roman" w:hAnsi="Times New Roman" w:cs="Times New Roman"/>
          <w:color w:val="auto"/>
        </w:rPr>
        <w:t>07/20/94, 12/23/95, 08/09/96, 04/28/97, 05/13/98,</w:t>
      </w:r>
      <w:r w:rsidR="00F0542D">
        <w:rPr>
          <w:rFonts w:ascii="Times New Roman" w:hAnsi="Times New Roman" w:cs="Times New Roman"/>
          <w:color w:val="auto"/>
        </w:rPr>
        <w:t xml:space="preserve"> </w:t>
      </w:r>
      <w:r w:rsidRPr="00C21BA4">
        <w:rPr>
          <w:rFonts w:ascii="Times New Roman" w:hAnsi="Times New Roman" w:cs="Times New Roman"/>
          <w:color w:val="auto"/>
        </w:rPr>
        <w:t>10/14/01, 12/28/01, 06/29/02, 10/28/02, 03/31/05,</w:t>
      </w:r>
      <w:r w:rsidR="00F0542D">
        <w:rPr>
          <w:rFonts w:ascii="Times New Roman" w:hAnsi="Times New Roman" w:cs="Times New Roman"/>
          <w:color w:val="auto"/>
        </w:rPr>
        <w:t xml:space="preserve"> </w:t>
      </w:r>
      <w:r w:rsidRPr="00C21BA4">
        <w:rPr>
          <w:rFonts w:ascii="Times New Roman" w:hAnsi="Times New Roman" w:cs="Times New Roman"/>
          <w:color w:val="auto"/>
        </w:rPr>
        <w:t>05/28/05, 07/03/05, 07/29/05, 06/25/07, 11/22/10,</w:t>
      </w:r>
      <w:r w:rsidR="00F0542D">
        <w:rPr>
          <w:rFonts w:ascii="Times New Roman" w:hAnsi="Times New Roman" w:cs="Times New Roman"/>
          <w:color w:val="auto"/>
        </w:rPr>
        <w:t xml:space="preserve"> </w:t>
      </w:r>
      <w:r w:rsidRPr="00C21BA4">
        <w:rPr>
          <w:rFonts w:ascii="Times New Roman" w:hAnsi="Times New Roman" w:cs="Times New Roman"/>
          <w:color w:val="auto"/>
        </w:rPr>
        <w:t>12/26/10, 10/06/11</w:t>
      </w:r>
    </w:p>
    <w:p w:rsidR="00221D85" w:rsidRPr="00EB3C9F" w:rsidRDefault="00221D85" w:rsidP="00EB3C9F">
      <w:pPr>
        <w:jc w:val="both"/>
        <w:rPr>
          <w:rFonts w:ascii="Times New Roman" w:hAnsi="Times New Roman" w:cs="Times New Roman"/>
          <w:color w:val="auto"/>
        </w:rPr>
      </w:pPr>
    </w:p>
    <w:sectPr w:rsidR="00221D85" w:rsidRPr="00EB3C9F" w:rsidSect="00C21BA4">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877" w:rsidRDefault="00A73877">
      <w:r>
        <w:separator/>
      </w:r>
    </w:p>
  </w:endnote>
  <w:endnote w:type="continuationSeparator" w:id="0">
    <w:p w:rsidR="00A73877" w:rsidRDefault="00A7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877" w:rsidRDefault="00A73877">
      <w:r>
        <w:separator/>
      </w:r>
    </w:p>
  </w:footnote>
  <w:footnote w:type="continuationSeparator" w:id="0">
    <w:p w:rsidR="00A73877" w:rsidRDefault="00A73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85" w:rsidRDefault="00221D85" w:rsidP="00C21BA4">
    <w:pPr>
      <w:spacing w:line="320" w:lineRule="atLeast"/>
      <w:jc w:val="right"/>
      <w:rPr>
        <w:rFonts w:ascii="Times New Roman" w:hAnsi="Times New Roman" w:cs="Times New Roman"/>
        <w:color w:val="auto"/>
      </w:rPr>
    </w:pPr>
  </w:p>
  <w:p w:rsidR="00C21BA4" w:rsidRPr="00C21BA4" w:rsidRDefault="00C21BA4" w:rsidP="00C21BA4">
    <w:pPr>
      <w:spacing w:line="320" w:lineRule="atLeast"/>
      <w:jc w:val="right"/>
      <w:rPr>
        <w:rFonts w:ascii="Times New Roman" w:hAnsi="Times New Roman" w:cs="Times New Roman"/>
        <w:color w:val="auto"/>
      </w:rPr>
    </w:pPr>
    <w:r>
      <w:rPr>
        <w:rFonts w:ascii="Times New Roman" w:hAnsi="Times New Roman" w:cs="Times New Roman"/>
        <w:color w:val="auto"/>
      </w:rPr>
      <w:t>3359-1-03</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21BA4">
      <w:rPr>
        <w:rFonts w:ascii="Times New Roman" w:hAnsi="Times New Roman" w:cs="Times New Roman"/>
        <w:color w:val="auto"/>
      </w:rPr>
      <w:fldChar w:fldCharType="begin"/>
    </w:r>
    <w:r w:rsidRPr="00C21BA4">
      <w:rPr>
        <w:rFonts w:ascii="Times New Roman" w:hAnsi="Times New Roman" w:cs="Times New Roman"/>
        <w:color w:val="auto"/>
      </w:rPr>
      <w:instrText xml:space="preserve"> PAGE   \* MERGEFORMAT </w:instrText>
    </w:r>
    <w:r w:rsidRPr="00C21BA4">
      <w:rPr>
        <w:rFonts w:ascii="Times New Roman" w:hAnsi="Times New Roman" w:cs="Times New Roman"/>
        <w:color w:val="auto"/>
      </w:rPr>
      <w:fldChar w:fldCharType="separate"/>
    </w:r>
    <w:r w:rsidR="00AC616F">
      <w:rPr>
        <w:rFonts w:ascii="Times New Roman" w:hAnsi="Times New Roman" w:cs="Times New Roman"/>
        <w:noProof/>
        <w:color w:val="auto"/>
      </w:rPr>
      <w:t>10</w:t>
    </w:r>
    <w:r w:rsidRPr="00C21BA4">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9F"/>
    <w:rsid w:val="00061BD1"/>
    <w:rsid w:val="001E618B"/>
    <w:rsid w:val="00221D85"/>
    <w:rsid w:val="00535FD6"/>
    <w:rsid w:val="00546A79"/>
    <w:rsid w:val="00A73877"/>
    <w:rsid w:val="00AA6CFB"/>
    <w:rsid w:val="00AC616F"/>
    <w:rsid w:val="00C21BA4"/>
    <w:rsid w:val="00EB3C9F"/>
    <w:rsid w:val="00F0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C21BA4"/>
    <w:pPr>
      <w:tabs>
        <w:tab w:val="center" w:pos="4680"/>
        <w:tab w:val="right" w:pos="9360"/>
      </w:tabs>
    </w:pPr>
  </w:style>
  <w:style w:type="character" w:customStyle="1" w:styleId="HeaderChar">
    <w:name w:val="Header Char"/>
    <w:basedOn w:val="DefaultParagraphFont"/>
    <w:link w:val="Header"/>
    <w:uiPriority w:val="99"/>
    <w:locked/>
    <w:rsid w:val="00C21BA4"/>
    <w:rPr>
      <w:rFonts w:ascii="Arial" w:hAnsi="Arial" w:cs="Arial"/>
      <w:color w:val="000000"/>
      <w:sz w:val="24"/>
      <w:szCs w:val="24"/>
    </w:rPr>
  </w:style>
  <w:style w:type="paragraph" w:styleId="Footer">
    <w:name w:val="footer"/>
    <w:basedOn w:val="Normal"/>
    <w:link w:val="FooterChar"/>
    <w:uiPriority w:val="99"/>
    <w:unhideWhenUsed/>
    <w:rsid w:val="00C21BA4"/>
    <w:pPr>
      <w:tabs>
        <w:tab w:val="center" w:pos="4680"/>
        <w:tab w:val="right" w:pos="9360"/>
      </w:tabs>
    </w:pPr>
  </w:style>
  <w:style w:type="character" w:customStyle="1" w:styleId="FooterChar">
    <w:name w:val="Footer Char"/>
    <w:basedOn w:val="DefaultParagraphFont"/>
    <w:link w:val="Footer"/>
    <w:uiPriority w:val="99"/>
    <w:locked/>
    <w:rsid w:val="00C21BA4"/>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C21BA4"/>
    <w:pPr>
      <w:tabs>
        <w:tab w:val="center" w:pos="4680"/>
        <w:tab w:val="right" w:pos="9360"/>
      </w:tabs>
    </w:pPr>
  </w:style>
  <w:style w:type="character" w:customStyle="1" w:styleId="HeaderChar">
    <w:name w:val="Header Char"/>
    <w:basedOn w:val="DefaultParagraphFont"/>
    <w:link w:val="Header"/>
    <w:uiPriority w:val="99"/>
    <w:locked/>
    <w:rsid w:val="00C21BA4"/>
    <w:rPr>
      <w:rFonts w:ascii="Arial" w:hAnsi="Arial" w:cs="Arial"/>
      <w:color w:val="000000"/>
      <w:sz w:val="24"/>
      <w:szCs w:val="24"/>
    </w:rPr>
  </w:style>
  <w:style w:type="paragraph" w:styleId="Footer">
    <w:name w:val="footer"/>
    <w:basedOn w:val="Normal"/>
    <w:link w:val="FooterChar"/>
    <w:uiPriority w:val="99"/>
    <w:unhideWhenUsed/>
    <w:rsid w:val="00C21BA4"/>
    <w:pPr>
      <w:tabs>
        <w:tab w:val="center" w:pos="4680"/>
        <w:tab w:val="right" w:pos="9360"/>
      </w:tabs>
    </w:pPr>
  </w:style>
  <w:style w:type="character" w:customStyle="1" w:styleId="FooterChar">
    <w:name w:val="Footer Char"/>
    <w:basedOn w:val="DefaultParagraphFont"/>
    <w:link w:val="Footer"/>
    <w:uiPriority w:val="99"/>
    <w:locked/>
    <w:rsid w:val="00C21BA4"/>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2015-02-05T14:49:00Z</dcterms:created>
  <dcterms:modified xsi:type="dcterms:W3CDTF">2015-02-05T14:49:00Z</dcterms:modified>
</cp:coreProperties>
</file>