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5C2896" w14:textId="77777777" w:rsidR="00A34088" w:rsidRDefault="00A34088">
      <w:pPr>
        <w:spacing w:after="200"/>
        <w:ind w:left="2000" w:hanging="1600"/>
        <w:rPr>
          <w:rFonts w:ascii="Times Roman" w:hAnsi="Times Roman" w:cs="Times Roman"/>
        </w:rPr>
      </w:pPr>
      <w:r>
        <w:rPr>
          <w:rFonts w:ascii="Times Roman" w:hAnsi="Times Roman" w:cs="Times Roman"/>
          <w:b/>
          <w:bCs/>
        </w:rPr>
        <w:t>3359-20-04     The faculty: personal matters and special instructions.</w:t>
      </w:r>
    </w:p>
    <w:p w14:paraId="7E8DD8CE"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(A) Salary payments.</w:t>
      </w:r>
    </w:p>
    <w:p w14:paraId="22C360A2"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 xml:space="preserve">(1) </w:t>
      </w:r>
      <w:r>
        <w:rPr>
          <w:rFonts w:ascii="Times Roman" w:hAnsi="Times Roman" w:cs="Times Roman"/>
        </w:rPr>
        <w:t>Salary checks are distributed by the associate vice president/controller on the last banking day of each month. For those regular or full-time auxiliary faculty who desire a twelve months' pay schedule, options are available through the university and selected financial institutions. The associate vice president/controller can provide details. Salary checks for part-time day and evening teaching and summer session teaching are distributed according to a schedule circulated by the associate vice president/co</w:t>
      </w:r>
      <w:r>
        <w:rPr>
          <w:rFonts w:ascii="Times Roman" w:hAnsi="Times Roman" w:cs="Times Roman"/>
        </w:rPr>
        <w:t>ntroller. Upon request, a faculty member may have the salary check automatically deposited at a selected bank or other financial institution.</w:t>
      </w:r>
    </w:p>
    <w:p w14:paraId="3C5EDBD4"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(2) Extra compensation earned for overload teaching during the regular semester is included in two installments in the spring semester salary checks.</w:t>
      </w:r>
    </w:p>
    <w:p w14:paraId="1E24179A"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(B) Salary deductions.</w:t>
      </w:r>
    </w:p>
    <w:p w14:paraId="69AA42A3"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(1) Withholding tax and state and local income tax deductions are made each month as required by law. Each faculty member is required to complete form W4, employee's withholding allowance certificate, and have it filed in the payroll office of the associate vice president/controller so that the proper number of allowances are used. The faculty member should report any changes in allowances by filing a new form W4 in the office of the associate vice president/controller.</w:t>
      </w:r>
    </w:p>
    <w:p w14:paraId="43CB634C"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(2) All full-time and most part-time faculty or administrators are required by state law to contribute to an appropriate state retirement system. A percentage of a faculty member's salary determined by the state legislature is deducted from the gross salary, picked up by the university, and credited to the faculty member's retirement account. The university's contribution varies from year to year, as required by law, but always exceeds the amount contributed by the member.</w:t>
      </w:r>
    </w:p>
    <w:p w14:paraId="6CAD2CA7"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(3) The state retirement plans provide for survivor benefits to eligible designated beneficiaries, for an income to a member of the plan who suffers a permanent disability, and for a retirement income in accordance with age and service. A detailed description of benefits is available from the office of benefits administration.</w:t>
      </w:r>
    </w:p>
    <w:p w14:paraId="4A96FEE6" w14:textId="77777777" w:rsidR="00A34088" w:rsidRDefault="00A34088" w:rsidP="00A34088">
      <w:pPr>
        <w:spacing w:after="200"/>
        <w:ind w:left="1200" w:hanging="500"/>
        <w:jc w:val="both"/>
        <w:rPr>
          <w:rFonts w:ascii="Times Roman" w:hAnsi="Times Roman" w:cs="Times Roman"/>
        </w:rPr>
      </w:pPr>
      <w:proofErr w:type="gramStart"/>
      <w:r>
        <w:rPr>
          <w:rFonts w:ascii="Times Roman" w:hAnsi="Times Roman" w:cs="Times Roman"/>
        </w:rPr>
        <w:t>(4) If</w:t>
      </w:r>
      <w:proofErr w:type="gramEnd"/>
      <w:r>
        <w:rPr>
          <w:rFonts w:ascii="Times Roman" w:hAnsi="Times Roman" w:cs="Times Roman"/>
        </w:rPr>
        <w:t xml:space="preserve"> an individual ceases to be a member of the retirement system-that is, ceases to be employed by a member institution of the plan-all the money contributed individually to the account can be recovered, but not the amount contributed by the university unless the same shall be vested to the individual by law.</w:t>
      </w:r>
    </w:p>
    <w:p w14:paraId="1DBD9DB1"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(C) Insurance.</w:t>
      </w:r>
    </w:p>
    <w:p w14:paraId="0E574481" w14:textId="77777777" w:rsidR="00A34088" w:rsidRDefault="00A34088" w:rsidP="00A34088">
      <w:pPr>
        <w:spacing w:after="200"/>
        <w:ind w:left="800"/>
        <w:jc w:val="both"/>
        <w:rPr>
          <w:rFonts w:ascii="Times Roman" w:hAnsi="Times Roman" w:cs="Times Roman"/>
        </w:rPr>
      </w:pPr>
      <w:r>
        <w:rPr>
          <w:rFonts w:ascii="Times Roman" w:hAnsi="Times Roman" w:cs="Times Roman"/>
        </w:rPr>
        <w:t>The university has established an insurance pro</w:t>
      </w:r>
      <w:r>
        <w:rPr>
          <w:rFonts w:ascii="Times Roman" w:hAnsi="Times Roman" w:cs="Times Roman"/>
        </w:rPr>
        <w:t xml:space="preserve">gram for the regular full-time faculty, auxiliary faculty and full-time staff. This includes group life, accidental death and </w:t>
      </w:r>
      <w:r>
        <w:rPr>
          <w:rFonts w:ascii="Times Roman" w:hAnsi="Times Roman" w:cs="Times Roman"/>
        </w:rPr>
        <w:lastRenderedPageBreak/>
        <w:t>dismemberment, long-term disability, and comprehensive medical and dental insurance plans. Complete information concerning the program may be obtained from the office of benefits administration.</w:t>
      </w:r>
    </w:p>
    <w:p w14:paraId="44EBBAFE"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(D) Attendance at professional meetings.</w:t>
      </w:r>
    </w:p>
    <w:p w14:paraId="2271699B"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 xml:space="preserve">(1) The university encourages faculty members to attend such educational or professional meetings related to their fields of work as will benefit both them and the university. To aid faculty members attending these meetings, the university helps to pay their travel expenses, subsistence costs, and special fees. The following instructions are included here so that faculty members can make full use of the financial assistance </w:t>
      </w:r>
      <w:proofErr w:type="gramStart"/>
      <w:r>
        <w:rPr>
          <w:rFonts w:ascii="Times Roman" w:hAnsi="Times Roman" w:cs="Times Roman"/>
        </w:rPr>
        <w:t>offered</w:t>
      </w:r>
      <w:proofErr w:type="gramEnd"/>
      <w:r>
        <w:rPr>
          <w:rFonts w:ascii="Times Roman" w:hAnsi="Times Roman" w:cs="Times Roman"/>
        </w:rPr>
        <w:t xml:space="preserve"> them. Faculty members should also consult the university travel policy.</w:t>
      </w:r>
    </w:p>
    <w:p w14:paraId="73ED3626"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(2) A faculty member wishing to attend an educational or professional meeting should request approval from the department chair and the dean of the college. The faculty member must provide information concerning the nature of the meeting and an estimate of expenses. The dean, weighing the value of the meeting to the faculty member and to the university, either approves or disapproves the request. Within a reasonable time followi</w:t>
      </w:r>
      <w:r>
        <w:rPr>
          <w:rFonts w:ascii="Times Roman" w:hAnsi="Times Roman" w:cs="Times Roman"/>
        </w:rPr>
        <w:t>ng the completion of the approved trips, expenses incurred are submitted to the dean for approval. Upon approval of the expense statement, the university reimburses the faculty member to the extent agreed upon when the trip was approved.</w:t>
      </w:r>
    </w:p>
    <w:p w14:paraId="6E433DA6"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(3) Faculty members should note that approval for such travel is necessarily governed by the availability of funds, that they may be limited to one such trip a year, and that they must be employees of the university at the time payment is made. At times the president or the</w:t>
      </w:r>
      <w:r>
        <w:rPr>
          <w:rFonts w:ascii="Times Roman" w:hAnsi="Times Roman" w:cs="Times Roman"/>
        </w:rPr>
        <w:t xml:space="preserve"> dean may request a faculty member to attend a particular meeting or function. Such trips are considered "official visits," and the university bears the total proper expense of such visits.</w:t>
      </w:r>
    </w:p>
    <w:p w14:paraId="24A0EE3C"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(E) Reporting illness or other absences.</w:t>
      </w:r>
    </w:p>
    <w:p w14:paraId="4CE0410C" w14:textId="77777777" w:rsidR="00A34088" w:rsidRDefault="00A34088" w:rsidP="00A34088">
      <w:pPr>
        <w:spacing w:after="200"/>
        <w:ind w:left="800"/>
        <w:jc w:val="both"/>
        <w:rPr>
          <w:rFonts w:ascii="Times Roman" w:hAnsi="Times Roman" w:cs="Times Roman"/>
        </w:rPr>
      </w:pPr>
      <w:r>
        <w:rPr>
          <w:rFonts w:ascii="Times Roman" w:hAnsi="Times Roman" w:cs="Times Roman"/>
        </w:rPr>
        <w:t>If illness forces a faculty member to be absent from duties, the faculty member's department chair and dean should be notified as soon as possible. If a faculty member is to be absent from the university for more than a day, an address should be left with the dean or other appropriate administrative officer.</w:t>
      </w:r>
    </w:p>
    <w:p w14:paraId="522C4D9D"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(F) Attending commencement exercises.</w:t>
      </w:r>
    </w:p>
    <w:p w14:paraId="08AA5B3A" w14:textId="77777777" w:rsidR="00A34088" w:rsidRDefault="00A34088" w:rsidP="00A34088">
      <w:pPr>
        <w:spacing w:after="200"/>
        <w:ind w:left="800"/>
        <w:jc w:val="both"/>
        <w:rPr>
          <w:rFonts w:ascii="Times Roman" w:hAnsi="Times Roman" w:cs="Times Roman"/>
        </w:rPr>
      </w:pPr>
      <w:r>
        <w:rPr>
          <w:rFonts w:ascii="Times Roman" w:hAnsi="Times Roman" w:cs="Times Roman"/>
        </w:rPr>
        <w:t>Participation in commencement exercises should be regarded as a professional responsibility of all faculty members.</w:t>
      </w:r>
    </w:p>
    <w:p w14:paraId="0A7A75B9"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(G) Attending faculty meetings.</w:t>
      </w:r>
    </w:p>
    <w:p w14:paraId="1702EFC9" w14:textId="77777777" w:rsidR="00A34088" w:rsidRDefault="00A34088" w:rsidP="00A34088">
      <w:pPr>
        <w:spacing w:after="200"/>
        <w:ind w:left="800"/>
        <w:jc w:val="both"/>
        <w:rPr>
          <w:rFonts w:ascii="Times Roman" w:hAnsi="Times Roman" w:cs="Times Roman"/>
        </w:rPr>
      </w:pPr>
      <w:r>
        <w:rPr>
          <w:rFonts w:ascii="Times Roman" w:hAnsi="Times Roman" w:cs="Times Roman"/>
        </w:rPr>
        <w:t xml:space="preserve">Each college faculty meets at the call of its dean; each department faculty meets at the call of its head; each school faculty meets at the call of its director; and the university faculty meets at the call of the president. All faculty members are expected to attend all </w:t>
      </w:r>
      <w:r>
        <w:rPr>
          <w:rFonts w:ascii="Times Roman" w:hAnsi="Times Roman" w:cs="Times Roman"/>
        </w:rPr>
        <w:lastRenderedPageBreak/>
        <w:t>meetings of their department, their school, their college, and the university faculty.</w:t>
      </w:r>
    </w:p>
    <w:p w14:paraId="66B5A09F"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(H)  Professional responsibilities.</w:t>
      </w:r>
    </w:p>
    <w:p w14:paraId="60DFF337"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(1) To the students.</w:t>
      </w:r>
    </w:p>
    <w:p w14:paraId="0A825DB3"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(a) In-course grading.</w:t>
      </w:r>
    </w:p>
    <w:p w14:paraId="465151E7"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In-course grading procedures and standards shall be clearly formulated by the instructor and these procedures and standards, including class attendance, shall be distributed to the students in writing and be explained to each class at the beginning of the course.</w:t>
      </w:r>
    </w:p>
    <w:p w14:paraId="38BFD566"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All work performed by students in the course (including oral participation where appropriate) shall be seriously considered and evaluated; written work should be returned promptly.</w:t>
      </w:r>
    </w:p>
    <w:p w14:paraId="326A72A9"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(iii) The instructor shall provide opportunities for review of grades in order that students may understand the reasons for particular grades and obtain guidance toward improvement.</w:t>
      </w:r>
    </w:p>
    <w:p w14:paraId="38BD979C"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(iv) All grades and graded work will be privately distributed to the individual student. Grades cannot be publicly posted. Graded work cannot be publicly disseminated.</w:t>
      </w:r>
    </w:p>
    <w:p w14:paraId="5C6E09D2"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(b) Office hours.</w:t>
      </w:r>
    </w:p>
    <w:p w14:paraId="047BA871"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Hours shall be reasonable in quantity, time of day, and campus location.</w:t>
      </w:r>
    </w:p>
    <w:p w14:paraId="16F9A0CA"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Hours shall be posted near the instructor's office and listed with the appropriate secretary.</w:t>
      </w:r>
    </w:p>
    <w:p w14:paraId="019A1F88"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(iii) Provision shall be made for special appointments wherever hardship or difficulty arises.</w:t>
      </w:r>
    </w:p>
    <w:p w14:paraId="10B85616"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(iv) Scheduled office hours shall be observed.</w:t>
      </w:r>
    </w:p>
    <w:p w14:paraId="0ACB4DE2"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(c) Classes.</w:t>
      </w:r>
    </w:p>
    <w:p w14:paraId="34778572"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xml:space="preserve">) </w:t>
      </w:r>
      <w:r>
        <w:rPr>
          <w:rFonts w:ascii="Times Roman" w:hAnsi="Times Roman" w:cs="Times Roman"/>
        </w:rPr>
        <w:t>The instructor shall prepare conscientiously for each class session (including arrangements of teaching aids, guests) etc., whenever applicable.</w:t>
      </w:r>
    </w:p>
    <w:p w14:paraId="68473A4B"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The instructor shall meet classes promptly and shall, out of consideration for both students and colleagues, dismiss not later than the scheduled time.</w:t>
      </w:r>
    </w:p>
    <w:p w14:paraId="0F944992"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 xml:space="preserve">(iii) Whenever any change is anticipated in the scheduled time or place of meeting, the instructor shall provide adequate notice to the class. Where appropriate (e.g., small classes, evening classes which frequently involve </w:t>
      </w:r>
      <w:r>
        <w:rPr>
          <w:rFonts w:ascii="Times Roman" w:hAnsi="Times Roman" w:cs="Times Roman"/>
        </w:rPr>
        <w:lastRenderedPageBreak/>
        <w:t xml:space="preserve">considerable travel for some students), some procedure should be established for emergency notice </w:t>
      </w:r>
      <w:proofErr w:type="gramStart"/>
      <w:r>
        <w:rPr>
          <w:rFonts w:ascii="Times Roman" w:hAnsi="Times Roman" w:cs="Times Roman"/>
        </w:rPr>
        <w:t>to</w:t>
      </w:r>
      <w:proofErr w:type="gramEnd"/>
      <w:r>
        <w:rPr>
          <w:rFonts w:ascii="Times Roman" w:hAnsi="Times Roman" w:cs="Times Roman"/>
        </w:rPr>
        <w:t xml:space="preserve"> students.</w:t>
      </w:r>
    </w:p>
    <w:p w14:paraId="46D71AA3"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(iv) The instructor shall provide valid means for course evaluation by students.</w:t>
      </w:r>
    </w:p>
    <w:p w14:paraId="4525CCAF"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(v) The instructor shall strive continuously and conscientiously to improve teaching effectiveness, and to this end should seek counsel and constructive criticism from colleagues.</w:t>
      </w:r>
    </w:p>
    <w:p w14:paraId="562A3DE0"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(d) Tests and examinations.</w:t>
      </w:r>
    </w:p>
    <w:p w14:paraId="2D948E39"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The instructor shall make clear in advance the areas (lecture, text chapters, other) to be covered on any test or examination.</w:t>
      </w:r>
    </w:p>
    <w:p w14:paraId="3720DE00"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The instructor shall, by explicit word and implicit classroom conduct, make clear to students what emphasis the instructor places upon facts or data and what upon synthesis or thought.</w:t>
      </w:r>
    </w:p>
    <w:p w14:paraId="02F16FCF"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(iii) It is the instructor's responsibility to promote high standards of linguistic expression (e.g., spelling, general grammatical and syntactical clarity, organization, and form).</w:t>
      </w:r>
    </w:p>
    <w:p w14:paraId="035B0875"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(iv) The instructor must assure before, during, and after tests an atmosphere conducive to the highest standards of honesty.</w:t>
      </w:r>
    </w:p>
    <w:p w14:paraId="56602315"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(e) Counseling and advising.</w:t>
      </w:r>
    </w:p>
    <w:p w14:paraId="412EBE67"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xml:space="preserve">) While the university provides both general and specific counseling services as a discrete function, the instructor will often have more intimate knowledge of the college, department, and field. Such knowledge provides the instructor with unique </w:t>
      </w:r>
      <w:proofErr w:type="gramStart"/>
      <w:r>
        <w:rPr>
          <w:rFonts w:ascii="Times Roman" w:hAnsi="Times Roman" w:cs="Times Roman"/>
        </w:rPr>
        <w:t>insights</w:t>
      </w:r>
      <w:proofErr w:type="gramEnd"/>
      <w:r>
        <w:rPr>
          <w:rFonts w:ascii="Times Roman" w:hAnsi="Times Roman" w:cs="Times Roman"/>
        </w:rPr>
        <w:t xml:space="preserve"> and the instructor has, therefore, a right and an obligation to counsel and advise students within the instructor's area of competence.</w:t>
      </w:r>
    </w:p>
    <w:p w14:paraId="394B418C"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In general, the instructor is obligated to respect each student as a human being, to recognize that the student ha</w:t>
      </w:r>
      <w:r>
        <w:rPr>
          <w:rFonts w:ascii="Times Roman" w:hAnsi="Times Roman" w:cs="Times Roman"/>
        </w:rPr>
        <w:t xml:space="preserve">s both human and civil rights. The instructor is expected to adhere to the university's </w:t>
      </w:r>
      <w:proofErr w:type="spellStart"/>
      <w:proofErr w:type="gramStart"/>
      <w:r>
        <w:rPr>
          <w:rFonts w:ascii="Times Roman" w:hAnsi="Times Roman" w:cs="Times Roman"/>
        </w:rPr>
        <w:t>non discrimination</w:t>
      </w:r>
      <w:proofErr w:type="spellEnd"/>
      <w:proofErr w:type="gramEnd"/>
      <w:r>
        <w:rPr>
          <w:rFonts w:ascii="Times Roman" w:hAnsi="Times Roman" w:cs="Times Roman"/>
        </w:rPr>
        <w:t xml:space="preserve"> policies including the prohibition against sexual harassment.</w:t>
      </w:r>
    </w:p>
    <w:p w14:paraId="171E6051"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(2) To the university and to colleagues.</w:t>
      </w:r>
    </w:p>
    <w:p w14:paraId="0361CFB5"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(a) Records.</w:t>
      </w:r>
    </w:p>
    <w:p w14:paraId="5A6A02C8"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The instructor is responsible for maintaining adequate records of student performance in courses as may be required by the university and/or any accrediting authority.</w:t>
      </w:r>
    </w:p>
    <w:p w14:paraId="2FF99D0E"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 xml:space="preserve">(ii) The instructor is responsible for keeping adequate records of course content </w:t>
      </w:r>
      <w:r>
        <w:rPr>
          <w:rFonts w:ascii="Times Roman" w:hAnsi="Times Roman" w:cs="Times Roman"/>
        </w:rPr>
        <w:lastRenderedPageBreak/>
        <w:t>and assignments.</w:t>
      </w:r>
    </w:p>
    <w:p w14:paraId="160AF93B"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(b) The faculty member shall endeavor to maintain and develop awareness and understanding of areas impinging upon the faculty member's field.</w:t>
      </w:r>
    </w:p>
    <w:p w14:paraId="3E08096D"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(c) The faculty member shall willingly serve on a reasonable number of committees concerned with curricular development and general university governance at departmental, collegiate, and university levels.</w:t>
      </w:r>
    </w:p>
    <w:p w14:paraId="555E6EE4"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(d) The faculty member shall contribute to the continuance and improvement of educational quality within the university through strong and active participation in selection of new faculty, and in decisions on promotion, tenure, and other recognitions of merit.</w:t>
      </w:r>
    </w:p>
    <w:p w14:paraId="22D107EE"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(e) The faculty member is obligated to promote, by precept and example, a general atmosphere within the university of respect for knowledge, thought and inquiry, even when--indeed especially when--such may be at variance with the faculty member's ideas.</w:t>
      </w:r>
    </w:p>
    <w:p w14:paraId="482A0CE7"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The faculty member respects colleagues and students, without reservation or favor because of age, color, creed, handicap, race, national origin, religion, sex, sexual orientation, degree or rank, discipline, or political sentiments.</w:t>
      </w:r>
    </w:p>
    <w:p w14:paraId="103DD2C9"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The faculty member contributes positively to reasonable orderliness within the university community.</w:t>
      </w:r>
    </w:p>
    <w:p w14:paraId="2ECC2CD5"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(3) To one's discipline.</w:t>
      </w:r>
    </w:p>
    <w:p w14:paraId="69E0A99D"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(a) </w:t>
      </w:r>
      <w:r>
        <w:rPr>
          <w:rFonts w:ascii="Times Roman" w:hAnsi="Times Roman" w:cs="Times Roman"/>
        </w:rPr>
        <w:t>The faculty member continues growth within the faculty member's field and related areas.</w:t>
      </w:r>
    </w:p>
    <w:p w14:paraId="6AD7DBC0"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(b) The faculty member shares concepts with others through teaching, creative endeavors, research, and attendance at and participation in professional associations and meetings.</w:t>
      </w:r>
    </w:p>
    <w:p w14:paraId="76164E48"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(4) To oneself.</w:t>
      </w:r>
    </w:p>
    <w:p w14:paraId="50C611F9"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(a) The professional seeks continuously to improve in value as a teacher and as a citizen.</w:t>
      </w:r>
    </w:p>
    <w:p w14:paraId="59AC53FF"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(b) The professional seeks diligently to improve the teaching working environment within the university structure:</w:t>
      </w:r>
    </w:p>
    <w:p w14:paraId="431F55F9"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w:t>
      </w:r>
      <w:proofErr w:type="spellStart"/>
      <w:r>
        <w:rPr>
          <w:rFonts w:ascii="Times Roman" w:hAnsi="Times Roman" w:cs="Times Roman"/>
        </w:rPr>
        <w:t>i</w:t>
      </w:r>
      <w:proofErr w:type="spellEnd"/>
      <w:r>
        <w:rPr>
          <w:rFonts w:ascii="Times Roman" w:hAnsi="Times Roman" w:cs="Times Roman"/>
        </w:rPr>
        <w:t>) By promoting a general atmosphere of intellectual and social growth, and</w:t>
      </w:r>
    </w:p>
    <w:p w14:paraId="2432005C" w14:textId="77777777" w:rsidR="00A34088" w:rsidRDefault="00A34088" w:rsidP="00A34088">
      <w:pPr>
        <w:spacing w:after="200"/>
        <w:ind w:left="2000" w:hanging="500"/>
        <w:jc w:val="both"/>
        <w:rPr>
          <w:rFonts w:ascii="Times Roman" w:hAnsi="Times Roman" w:cs="Times Roman"/>
        </w:rPr>
      </w:pPr>
      <w:r>
        <w:rPr>
          <w:rFonts w:ascii="Times Roman" w:hAnsi="Times Roman" w:cs="Times Roman"/>
        </w:rPr>
        <w:t>(ii) By seeking just and equitable compensation, including the concept of released time for professional growth.</w:t>
      </w:r>
    </w:p>
    <w:p w14:paraId="2D44872A"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lastRenderedPageBreak/>
        <w:t>(c) The faculty member actively contributes to the education and development of persons and groups outside the university proper, in order to promote improved reciprocal understanding and acceptance of the roles of education, the university itself, the individual discipline, and the profession in American and world society.</w:t>
      </w:r>
    </w:p>
    <w:p w14:paraId="39022382" w14:textId="77777777" w:rsidR="00A34088" w:rsidRDefault="00A34088" w:rsidP="00A34088">
      <w:pPr>
        <w:spacing w:after="200"/>
        <w:ind w:left="800" w:hanging="500"/>
        <w:jc w:val="both"/>
        <w:rPr>
          <w:rFonts w:ascii="Times Roman" w:hAnsi="Times Roman" w:cs="Times Roman"/>
        </w:rPr>
      </w:pPr>
      <w:r>
        <w:rPr>
          <w:rFonts w:ascii="Times Roman" w:hAnsi="Times Roman" w:cs="Times Roman"/>
        </w:rPr>
        <w:t>(I) Academic freedom of non-bargaining unit faculty members.</w:t>
      </w:r>
    </w:p>
    <w:p w14:paraId="2219167C"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(1) Non-bargaining unit faculty members are entitled to freedom in the classroom (including the virtual classroom) in discussing their subject, but they should refrain from introducing into their teaching controversial matter that has no relation to their subject.</w:t>
      </w:r>
    </w:p>
    <w:p w14:paraId="378047DF"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(2) Non-bargaining unit faculty members are also entitled to full freedom in any research they may conduct and in the publication of the results. The principles of academic freedom and freedom of inquiry include freedom of expression in both traditional print and newer electronic forms.</w:t>
      </w:r>
    </w:p>
    <w:p w14:paraId="4F521206"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(3) Non-bargaining unit faculty members are citizens, members of a learned profession, and members of an educational institution. When they speak or write as citizens, they should be free from institutional censorship or discipline, but their special position in the community imposes special obligations. As scholars and members of the institution, they should remember that the public may judge their profession and their institution by their utterances. Hence, they should always endeavor to be factual and a</w:t>
      </w:r>
      <w:r>
        <w:rPr>
          <w:rFonts w:ascii="Times Roman" w:hAnsi="Times Roman" w:cs="Times Roman"/>
        </w:rPr>
        <w:t>ccurate, exercise appropriate restraint, show respect for the opinions of others, and make every effort to indicate that they are not speaking for the institution.</w:t>
      </w:r>
    </w:p>
    <w:p w14:paraId="1A8A4C1F" w14:textId="77777777" w:rsidR="00A34088" w:rsidRDefault="00A34088" w:rsidP="00A34088">
      <w:pPr>
        <w:spacing w:after="200"/>
        <w:ind w:left="1200" w:hanging="500"/>
        <w:jc w:val="both"/>
        <w:rPr>
          <w:rFonts w:ascii="Times Roman" w:hAnsi="Times Roman" w:cs="Times Roman"/>
        </w:rPr>
      </w:pPr>
      <w:r>
        <w:rPr>
          <w:rFonts w:ascii="Times Roman" w:hAnsi="Times Roman" w:cs="Times Roman"/>
        </w:rPr>
        <w:t>(4) Non-bargaining unit faculty members shall:</w:t>
      </w:r>
    </w:p>
    <w:p w14:paraId="4696EFDE"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(a) Encourage the free pursuit of learning in their </w:t>
      </w:r>
      <w:proofErr w:type="gramStart"/>
      <w:r>
        <w:rPr>
          <w:rFonts w:ascii="Times Roman" w:hAnsi="Times Roman" w:cs="Times Roman"/>
        </w:rPr>
        <w:t>students;</w:t>
      </w:r>
      <w:proofErr w:type="gramEnd"/>
    </w:p>
    <w:p w14:paraId="277CF0BD"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(b) Hold before them the best scholarly and ethical standards of their </w:t>
      </w:r>
      <w:proofErr w:type="gramStart"/>
      <w:r>
        <w:rPr>
          <w:rFonts w:ascii="Times Roman" w:hAnsi="Times Roman" w:cs="Times Roman"/>
        </w:rPr>
        <w:t>discipline;</w:t>
      </w:r>
      <w:proofErr w:type="gramEnd"/>
    </w:p>
    <w:p w14:paraId="7F2C5B5F"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(c) Demonstrate respect for students as individuals and adhere to their proper roles as intellectual guides and </w:t>
      </w:r>
      <w:proofErr w:type="gramStart"/>
      <w:r>
        <w:rPr>
          <w:rFonts w:ascii="Times Roman" w:hAnsi="Times Roman" w:cs="Times Roman"/>
        </w:rPr>
        <w:t>counselors;</w:t>
      </w:r>
      <w:proofErr w:type="gramEnd"/>
    </w:p>
    <w:p w14:paraId="63BA4E1C"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(d) Make every reasonable effort to foster honest academic conduct and ensure that their evaluations of students reflect each student's true </w:t>
      </w:r>
      <w:proofErr w:type="gramStart"/>
      <w:r>
        <w:rPr>
          <w:rFonts w:ascii="Times Roman" w:hAnsi="Times Roman" w:cs="Times Roman"/>
        </w:rPr>
        <w:t>merit;</w:t>
      </w:r>
      <w:proofErr w:type="gramEnd"/>
    </w:p>
    <w:p w14:paraId="7D537916"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 xml:space="preserve">(e) Avoid any exploitation, harassment, or discriminatory treatment of </w:t>
      </w:r>
      <w:proofErr w:type="gramStart"/>
      <w:r>
        <w:rPr>
          <w:rFonts w:ascii="Times Roman" w:hAnsi="Times Roman" w:cs="Times Roman"/>
        </w:rPr>
        <w:t>students;</w:t>
      </w:r>
      <w:proofErr w:type="gramEnd"/>
    </w:p>
    <w:p w14:paraId="065936EF"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(f) Acknowledge significant academic or scholarly assistance from students; and</w:t>
      </w:r>
    </w:p>
    <w:p w14:paraId="279D1EB5" w14:textId="77777777" w:rsidR="00A34088" w:rsidRDefault="00A34088" w:rsidP="00A34088">
      <w:pPr>
        <w:spacing w:after="200"/>
        <w:ind w:left="1600" w:hanging="500"/>
        <w:jc w:val="both"/>
        <w:rPr>
          <w:rFonts w:ascii="Times Roman" w:hAnsi="Times Roman" w:cs="Times Roman"/>
        </w:rPr>
      </w:pPr>
      <w:r>
        <w:rPr>
          <w:rFonts w:ascii="Times Roman" w:hAnsi="Times Roman" w:cs="Times Roman"/>
        </w:rPr>
        <w:t>(g) Protect students' academic freedom.</w:t>
      </w:r>
    </w:p>
    <w:p w14:paraId="51AFBBDA" w14:textId="77777777" w:rsidR="00A34088" w:rsidRDefault="00A34088">
      <w:pPr>
        <w:rPr>
          <w:rFonts w:ascii="Times New Roman" w:hAnsi="Times New Roman" w:cs="Times New Roman"/>
          <w:color w:val="auto"/>
        </w:rPr>
      </w:pPr>
    </w:p>
    <w:p w14:paraId="743C052C" w14:textId="77777777" w:rsidR="00A34088" w:rsidRDefault="00A34088" w:rsidP="00A34088">
      <w:pPr>
        <w:widowControl/>
        <w:ind w:left="360"/>
        <w:rPr>
          <w:rFonts w:ascii="Times New Roman" w:hAnsi="Times New Roman" w:cs="Times New Roman"/>
          <w:color w:val="auto"/>
        </w:rPr>
      </w:pPr>
      <w:r w:rsidRPr="0055777C">
        <w:rPr>
          <w:rFonts w:ascii="Times New Roman" w:hAnsi="Times New Roman" w:cs="Times New Roman"/>
          <w:color w:val="auto"/>
        </w:rPr>
        <w:lastRenderedPageBreak/>
        <w:t>Effective:</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t>05/11/2025</w:t>
      </w:r>
    </w:p>
    <w:p w14:paraId="3D9F4C7D" w14:textId="77777777" w:rsidR="00A34088" w:rsidRPr="0055777C" w:rsidRDefault="00A34088" w:rsidP="00A34088">
      <w:pPr>
        <w:widowControl/>
        <w:ind w:left="360"/>
        <w:rPr>
          <w:rFonts w:ascii="Times New Roman" w:hAnsi="Times New Roman" w:cs="Times New Roman"/>
          <w:color w:val="auto"/>
        </w:rPr>
      </w:pPr>
    </w:p>
    <w:p w14:paraId="234639A5" w14:textId="77777777" w:rsidR="00A34088" w:rsidRPr="0055777C" w:rsidRDefault="00A34088" w:rsidP="00A34088">
      <w:pPr>
        <w:widowControl/>
        <w:ind w:left="360"/>
        <w:rPr>
          <w:rFonts w:ascii="Times New Roman" w:hAnsi="Times New Roman" w:cs="Times New Roman"/>
          <w:color w:val="auto"/>
          <w:u w:val="single"/>
        </w:rPr>
      </w:pPr>
      <w:r w:rsidRPr="0055777C">
        <w:rPr>
          <w:rFonts w:ascii="Times New Roman" w:hAnsi="Times New Roman" w:cs="Times New Roman"/>
          <w:color w:val="auto"/>
        </w:rPr>
        <w:t>Certification:</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u w:val="single"/>
        </w:rPr>
        <w:tab/>
      </w:r>
      <w:r>
        <w:rPr>
          <w:rFonts w:ascii="Times New Roman" w:hAnsi="Times New Roman" w:cs="Times New Roman"/>
          <w:color w:val="auto"/>
          <w:u w:val="single"/>
        </w:rPr>
        <w:tab/>
      </w:r>
      <w:r>
        <w:rPr>
          <w:rFonts w:ascii="Times New Roman" w:hAnsi="Times New Roman" w:cs="Times New Roman"/>
          <w:color w:val="auto"/>
          <w:u w:val="single"/>
        </w:rPr>
        <w:tab/>
      </w:r>
      <w:r>
        <w:rPr>
          <w:rFonts w:ascii="Times New Roman" w:hAnsi="Times New Roman" w:cs="Times New Roman"/>
          <w:color w:val="auto"/>
          <w:u w:val="single"/>
        </w:rPr>
        <w:tab/>
      </w:r>
    </w:p>
    <w:p w14:paraId="581E2770" w14:textId="77777777" w:rsidR="00A34088" w:rsidRPr="0055777C" w:rsidRDefault="00A34088" w:rsidP="00A34088">
      <w:pPr>
        <w:widowControl/>
        <w:ind w:left="3960" w:firstLine="360"/>
        <w:rPr>
          <w:rFonts w:ascii="Times New Roman" w:hAnsi="Times New Roman" w:cs="Times New Roman"/>
          <w:color w:val="auto"/>
        </w:rPr>
      </w:pPr>
      <w:r>
        <w:rPr>
          <w:rFonts w:ascii="Times New Roman" w:hAnsi="Times New Roman" w:cs="Times New Roman"/>
          <w:color w:val="auto"/>
        </w:rPr>
        <w:t>Mark G. Stasitis</w:t>
      </w:r>
    </w:p>
    <w:p w14:paraId="17DBCBE2" w14:textId="77777777" w:rsidR="00A34088" w:rsidRDefault="00A34088" w:rsidP="00A34088">
      <w:pPr>
        <w:widowControl/>
        <w:ind w:left="3600" w:firstLine="720"/>
        <w:rPr>
          <w:rFonts w:ascii="Times New Roman" w:hAnsi="Times New Roman" w:cs="Times New Roman"/>
          <w:color w:val="auto"/>
        </w:rPr>
      </w:pPr>
      <w:r>
        <w:rPr>
          <w:rFonts w:ascii="Times New Roman" w:hAnsi="Times New Roman" w:cs="Times New Roman"/>
          <w:color w:val="auto"/>
        </w:rPr>
        <w:t xml:space="preserve">Acting </w:t>
      </w:r>
      <w:r w:rsidRPr="0055777C">
        <w:rPr>
          <w:rFonts w:ascii="Times New Roman" w:hAnsi="Times New Roman" w:cs="Times New Roman"/>
          <w:color w:val="auto"/>
        </w:rPr>
        <w:t>Secretary</w:t>
      </w:r>
      <w:r>
        <w:rPr>
          <w:rFonts w:ascii="Times New Roman" w:hAnsi="Times New Roman" w:cs="Times New Roman"/>
          <w:color w:val="auto"/>
        </w:rPr>
        <w:t xml:space="preserve">, </w:t>
      </w:r>
      <w:r w:rsidRPr="0055777C">
        <w:rPr>
          <w:rFonts w:ascii="Times New Roman" w:hAnsi="Times New Roman" w:cs="Times New Roman"/>
          <w:color w:val="auto"/>
        </w:rPr>
        <w:t>Board of Trustees</w:t>
      </w:r>
    </w:p>
    <w:p w14:paraId="6629488F" w14:textId="77777777" w:rsidR="00A34088" w:rsidRPr="0055777C" w:rsidRDefault="00A34088" w:rsidP="00A34088">
      <w:pPr>
        <w:widowControl/>
        <w:ind w:left="3960" w:firstLine="360"/>
        <w:rPr>
          <w:rFonts w:ascii="Times New Roman" w:hAnsi="Times New Roman" w:cs="Times New Roman"/>
          <w:color w:val="auto"/>
        </w:rPr>
      </w:pPr>
    </w:p>
    <w:p w14:paraId="58D17D46" w14:textId="77777777" w:rsidR="00A34088" w:rsidRDefault="00A34088" w:rsidP="00A34088">
      <w:pPr>
        <w:widowControl/>
        <w:ind w:left="360"/>
        <w:rPr>
          <w:rFonts w:ascii="Times New Roman" w:hAnsi="Times New Roman" w:cs="Times New Roman"/>
          <w:color w:val="auto"/>
        </w:rPr>
      </w:pPr>
      <w:r w:rsidRPr="0055777C">
        <w:rPr>
          <w:rFonts w:ascii="Times New Roman" w:hAnsi="Times New Roman" w:cs="Times New Roman"/>
          <w:color w:val="auto"/>
        </w:rPr>
        <w:t xml:space="preserve">Promulgated Under: </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sidRPr="0055777C">
        <w:rPr>
          <w:rFonts w:ascii="Times New Roman" w:hAnsi="Times New Roman" w:cs="Times New Roman"/>
          <w:color w:val="auto"/>
        </w:rPr>
        <w:t>111.15</w:t>
      </w:r>
    </w:p>
    <w:p w14:paraId="77BFD2C6" w14:textId="77777777" w:rsidR="00A34088" w:rsidRPr="0055777C" w:rsidRDefault="00A34088" w:rsidP="00A34088">
      <w:pPr>
        <w:widowControl/>
        <w:ind w:left="360"/>
        <w:rPr>
          <w:rFonts w:ascii="Times New Roman" w:hAnsi="Times New Roman" w:cs="Times New Roman"/>
          <w:color w:val="auto"/>
        </w:rPr>
      </w:pPr>
    </w:p>
    <w:p w14:paraId="1505E8CC" w14:textId="77777777" w:rsidR="00A34088" w:rsidRDefault="00A34088" w:rsidP="00A34088">
      <w:pPr>
        <w:widowControl/>
        <w:ind w:left="360"/>
        <w:rPr>
          <w:rFonts w:ascii="Times New Roman" w:hAnsi="Times New Roman" w:cs="Times New Roman"/>
          <w:color w:val="auto"/>
        </w:rPr>
      </w:pPr>
      <w:r w:rsidRPr="0055777C">
        <w:rPr>
          <w:rFonts w:ascii="Times New Roman" w:hAnsi="Times New Roman" w:cs="Times New Roman"/>
          <w:color w:val="auto"/>
        </w:rPr>
        <w:t xml:space="preserve">Statutory Authority: </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sidRPr="0055777C">
        <w:rPr>
          <w:rFonts w:ascii="Times New Roman" w:hAnsi="Times New Roman" w:cs="Times New Roman"/>
          <w:color w:val="auto"/>
        </w:rPr>
        <w:t>3359</w:t>
      </w:r>
    </w:p>
    <w:p w14:paraId="1EC09F1F" w14:textId="77777777" w:rsidR="00A34088" w:rsidRPr="0055777C" w:rsidRDefault="00A34088" w:rsidP="00A34088">
      <w:pPr>
        <w:widowControl/>
        <w:ind w:left="360"/>
        <w:rPr>
          <w:rFonts w:ascii="Times New Roman" w:hAnsi="Times New Roman" w:cs="Times New Roman"/>
          <w:color w:val="auto"/>
        </w:rPr>
      </w:pPr>
    </w:p>
    <w:p w14:paraId="5EA526E6" w14:textId="77777777" w:rsidR="00A34088" w:rsidRDefault="00A34088" w:rsidP="00A34088">
      <w:pPr>
        <w:widowControl/>
        <w:ind w:left="360"/>
        <w:rPr>
          <w:rFonts w:ascii="Times New Roman" w:hAnsi="Times New Roman" w:cs="Times New Roman"/>
          <w:color w:val="auto"/>
        </w:rPr>
      </w:pPr>
      <w:r w:rsidRPr="0055777C">
        <w:rPr>
          <w:rFonts w:ascii="Times New Roman" w:hAnsi="Times New Roman" w:cs="Times New Roman"/>
          <w:color w:val="auto"/>
        </w:rPr>
        <w:t xml:space="preserve">Rule Amplifies: </w:t>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Pr>
          <w:rFonts w:ascii="Times New Roman" w:hAnsi="Times New Roman" w:cs="Times New Roman"/>
          <w:color w:val="auto"/>
        </w:rPr>
        <w:tab/>
      </w:r>
      <w:r w:rsidRPr="0055777C">
        <w:rPr>
          <w:rFonts w:ascii="Times New Roman" w:hAnsi="Times New Roman" w:cs="Times New Roman"/>
          <w:color w:val="auto"/>
        </w:rPr>
        <w:t>3359</w:t>
      </w:r>
    </w:p>
    <w:p w14:paraId="00D24011" w14:textId="77777777" w:rsidR="00A34088" w:rsidRPr="0055777C" w:rsidRDefault="00A34088" w:rsidP="00A34088">
      <w:pPr>
        <w:widowControl/>
        <w:ind w:left="360"/>
        <w:rPr>
          <w:rFonts w:ascii="Times New Roman" w:hAnsi="Times New Roman" w:cs="Times New Roman"/>
          <w:color w:val="auto"/>
        </w:rPr>
      </w:pPr>
    </w:p>
    <w:p w14:paraId="1CF07EFB" w14:textId="77777777" w:rsidR="00A34088" w:rsidRPr="0055777C" w:rsidRDefault="00A34088" w:rsidP="00A34088">
      <w:pPr>
        <w:widowControl/>
        <w:ind w:left="4320" w:hanging="3960"/>
        <w:rPr>
          <w:rFonts w:ascii="Times New Roman" w:hAnsi="Times New Roman" w:cs="Times New Roman"/>
          <w:color w:val="auto"/>
        </w:rPr>
      </w:pPr>
      <w:r w:rsidRPr="0055777C">
        <w:rPr>
          <w:rFonts w:ascii="Times New Roman" w:hAnsi="Times New Roman" w:cs="Times New Roman"/>
          <w:color w:val="auto"/>
        </w:rPr>
        <w:t xml:space="preserve">Prior Effective Dates: </w:t>
      </w:r>
      <w:r>
        <w:rPr>
          <w:rFonts w:ascii="Times New Roman" w:hAnsi="Times New Roman" w:cs="Times New Roman"/>
          <w:color w:val="auto"/>
        </w:rPr>
        <w:tab/>
      </w:r>
      <w:r w:rsidRPr="0055777C">
        <w:rPr>
          <w:rFonts w:ascii="Times New Roman" w:hAnsi="Times New Roman" w:cs="Times New Roman"/>
          <w:color w:val="auto"/>
        </w:rPr>
        <w:t>11/27/89, 07/20/90, 05/22/91, 09/16/96, 09/11/00,</w:t>
      </w:r>
      <w:r>
        <w:rPr>
          <w:rFonts w:ascii="Times New Roman" w:hAnsi="Times New Roman" w:cs="Times New Roman"/>
          <w:color w:val="auto"/>
        </w:rPr>
        <w:t xml:space="preserve"> </w:t>
      </w:r>
      <w:r w:rsidRPr="0055777C">
        <w:rPr>
          <w:rFonts w:ascii="Times New Roman" w:hAnsi="Times New Roman" w:cs="Times New Roman"/>
          <w:color w:val="auto"/>
        </w:rPr>
        <w:t>10/14/01, 12/28/01, 06/25/07</w:t>
      </w:r>
      <w:r>
        <w:rPr>
          <w:rFonts w:ascii="Times New Roman" w:hAnsi="Times New Roman" w:cs="Times New Roman"/>
          <w:color w:val="auto"/>
        </w:rPr>
        <w:t>, 01/31/2015</w:t>
      </w:r>
    </w:p>
    <w:p w14:paraId="51441C81" w14:textId="77777777" w:rsidR="00A34088" w:rsidRDefault="00A34088" w:rsidP="00A34088">
      <w:pPr>
        <w:jc w:val="both"/>
        <w:rPr>
          <w:rFonts w:ascii="Times New Roman" w:hAnsi="Times New Roman" w:cs="Times New Roman"/>
          <w:color w:val="auto"/>
        </w:rPr>
      </w:pPr>
    </w:p>
    <w:p w14:paraId="683FD785" w14:textId="77777777" w:rsidR="00A34088" w:rsidRDefault="00A34088">
      <w:pPr>
        <w:rPr>
          <w:rFonts w:ascii="Times New Roman" w:hAnsi="Times New Roman" w:cs="Times New Roman"/>
          <w:color w:val="auto"/>
        </w:rPr>
      </w:pPr>
    </w:p>
    <w:sectPr w:rsidR="00A34088" w:rsidSect="00A34088">
      <w:headerReference w:type="default" r:id="rId7"/>
      <w:pgSz w:w="12242" w:h="15842"/>
      <w:pgMar w:top="216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F95469" w14:textId="77777777" w:rsidR="00A34088" w:rsidRDefault="00A34088">
      <w:r>
        <w:separator/>
      </w:r>
    </w:p>
  </w:endnote>
  <w:endnote w:type="continuationSeparator" w:id="0">
    <w:p w14:paraId="710E7587" w14:textId="77777777" w:rsidR="00A34088" w:rsidRDefault="00A34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Roman">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330560" w14:textId="77777777" w:rsidR="00A34088" w:rsidRDefault="00A34088">
      <w:r>
        <w:separator/>
      </w:r>
    </w:p>
  </w:footnote>
  <w:footnote w:type="continuationSeparator" w:id="0">
    <w:p w14:paraId="392EB6C8" w14:textId="77777777" w:rsidR="00A34088" w:rsidRDefault="00A340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F37ED" w14:textId="19EF65F1" w:rsidR="00A34088" w:rsidRPr="00A34088" w:rsidRDefault="00A34088">
    <w:pPr>
      <w:spacing w:line="320" w:lineRule="atLeast"/>
      <w:jc w:val="center"/>
      <w:rPr>
        <w:rFonts w:ascii="Times New Roman" w:hAnsi="Times New Roman" w:cs="Times New Roman"/>
        <w:color w:val="auto"/>
        <w:sz w:val="28"/>
        <w:szCs w:val="28"/>
      </w:rPr>
    </w:pPr>
    <w:r w:rsidRPr="00A34088">
      <w:rPr>
        <w:rFonts w:ascii="Times New Roman" w:hAnsi="Times New Roman" w:cs="Times New Roman"/>
        <w:color w:val="auto"/>
        <w:sz w:val="28"/>
        <w:szCs w:val="28"/>
      </w:rPr>
      <w:t>3359-20-04</w:t>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Pr>
        <w:rFonts w:ascii="Times New Roman" w:hAnsi="Times New Roman" w:cs="Times New Roman"/>
        <w:color w:val="auto"/>
        <w:sz w:val="28"/>
        <w:szCs w:val="28"/>
      </w:rPr>
      <w:tab/>
    </w:r>
    <w:r>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tab/>
    </w:r>
    <w:r w:rsidRPr="00A34088">
      <w:rPr>
        <w:rFonts w:ascii="Times New Roman" w:hAnsi="Times New Roman" w:cs="Times New Roman"/>
        <w:color w:val="auto"/>
        <w:sz w:val="28"/>
        <w:szCs w:val="28"/>
      </w:rPr>
      <w:fldChar w:fldCharType="begin"/>
    </w:r>
    <w:r w:rsidRPr="00A34088">
      <w:rPr>
        <w:rFonts w:ascii="Times New Roman" w:hAnsi="Times New Roman" w:cs="Times New Roman"/>
        <w:color w:val="auto"/>
        <w:sz w:val="28"/>
        <w:szCs w:val="28"/>
      </w:rPr>
      <w:instrText xml:space="preserve"> PAGE   \* MERGEFORMAT </w:instrText>
    </w:r>
    <w:r w:rsidRPr="00A34088">
      <w:rPr>
        <w:rFonts w:ascii="Times New Roman" w:hAnsi="Times New Roman" w:cs="Times New Roman"/>
        <w:color w:val="auto"/>
        <w:sz w:val="28"/>
        <w:szCs w:val="28"/>
      </w:rPr>
      <w:fldChar w:fldCharType="separate"/>
    </w:r>
    <w:r w:rsidRPr="00A34088">
      <w:rPr>
        <w:rFonts w:ascii="Times New Roman" w:hAnsi="Times New Roman" w:cs="Times New Roman"/>
        <w:noProof/>
        <w:color w:val="auto"/>
        <w:sz w:val="28"/>
        <w:szCs w:val="28"/>
      </w:rPr>
      <w:t>1</w:t>
    </w:r>
    <w:r w:rsidRPr="00A34088">
      <w:rPr>
        <w:rFonts w:ascii="Times New Roman" w:hAnsi="Times New Roman" w:cs="Times New Roman"/>
        <w:noProof/>
        <w:color w:val="auto"/>
        <w:sz w:val="28"/>
        <w:szCs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34088"/>
    <w:rsid w:val="00040B2B"/>
    <w:rsid w:val="00A340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B62C29"/>
  <w14:defaultImageDpi w14:val="0"/>
  <w15:docId w15:val="{2134F932-E1F6-47AA-A1AD-286A96F09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Times New Roman" w:hAnsi="Apto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Arial" w:hAnsi="Arial" w:cs="Arial"/>
      <w:color w:val="000000"/>
      <w:sz w:val="24"/>
      <w:szCs w:val="24"/>
    </w:rPr>
  </w:style>
  <w:style w:type="paragraph" w:styleId="Heading1">
    <w:name w:val="heading 1"/>
    <w:basedOn w:val="Normal"/>
    <w:next w:val="Normal"/>
    <w:link w:val="Heading1Char"/>
    <w:uiPriority w:val="99"/>
    <w:qFormat/>
    <w:pPr>
      <w:outlineLvl w:val="0"/>
    </w:pPr>
    <w:rPr>
      <w:b/>
      <w:bCs/>
      <w:sz w:val="32"/>
      <w:szCs w:val="32"/>
    </w:rPr>
  </w:style>
  <w:style w:type="paragraph" w:styleId="Heading2">
    <w:name w:val="heading 2"/>
    <w:basedOn w:val="Normal"/>
    <w:next w:val="Normal"/>
    <w:link w:val="Heading2Char"/>
    <w:uiPriority w:val="99"/>
    <w:qFormat/>
    <w:pPr>
      <w:outlineLvl w:val="1"/>
    </w:pPr>
    <w:rPr>
      <w:b/>
      <w:bCs/>
      <w:i/>
      <w:iCs/>
      <w:sz w:val="28"/>
      <w:szCs w:val="28"/>
    </w:rPr>
  </w:style>
  <w:style w:type="paragraph" w:styleId="Heading3">
    <w:name w:val="heading 3"/>
    <w:basedOn w:val="Normal"/>
    <w:next w:val="Normal"/>
    <w:link w:val="Heading3Char"/>
    <w:uiPriority w:val="99"/>
    <w:qFormat/>
    <w:pPr>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uiPriority w:val="9"/>
    <w:semiHidden/>
    <w:rPr>
      <w:rFonts w:ascii="Aptos Display" w:eastAsia="Times New Roman" w:hAnsi="Aptos Display" w:cs="Times New Roman"/>
      <w:b/>
      <w:bCs/>
      <w:color w:val="000000"/>
      <w:kern w:val="0"/>
      <w:sz w:val="26"/>
      <w:szCs w:val="26"/>
    </w:rPr>
  </w:style>
  <w:style w:type="character" w:customStyle="1" w:styleId="Heading2Char">
    <w:name w:val="Heading 2 Char"/>
    <w:link w:val="Heading2"/>
    <w:uiPriority w:val="9"/>
    <w:semiHidden/>
    <w:rPr>
      <w:rFonts w:ascii="Aptos Display" w:eastAsia="Times New Roman" w:hAnsi="Aptos Display" w:cs="Times New Roman"/>
      <w:b/>
      <w:bCs/>
      <w:i/>
      <w:iCs/>
      <w:color w:val="000000"/>
      <w:kern w:val="0"/>
      <w:sz w:val="28"/>
      <w:szCs w:val="28"/>
    </w:rPr>
  </w:style>
  <w:style w:type="character" w:customStyle="1" w:styleId="Heading1Char">
    <w:name w:val="Heading 1 Char"/>
    <w:link w:val="Heading1"/>
    <w:uiPriority w:val="9"/>
    <w:rPr>
      <w:rFonts w:ascii="Aptos Display" w:eastAsia="Times New Roman" w:hAnsi="Aptos Display" w:cs="Times New Roman"/>
      <w:b/>
      <w:bCs/>
      <w:color w:val="000000"/>
      <w:kern w:val="32"/>
      <w:sz w:val="32"/>
      <w:szCs w:val="32"/>
    </w:rPr>
  </w:style>
  <w:style w:type="paragraph" w:styleId="Header">
    <w:name w:val="header"/>
    <w:basedOn w:val="Normal"/>
    <w:link w:val="HeaderChar"/>
    <w:uiPriority w:val="99"/>
    <w:unhideWhenUsed/>
    <w:rsid w:val="00A34088"/>
    <w:pPr>
      <w:tabs>
        <w:tab w:val="center" w:pos="4680"/>
        <w:tab w:val="right" w:pos="9360"/>
      </w:tabs>
    </w:pPr>
  </w:style>
  <w:style w:type="character" w:customStyle="1" w:styleId="HeaderChar">
    <w:name w:val="Header Char"/>
    <w:link w:val="Header"/>
    <w:uiPriority w:val="99"/>
    <w:rsid w:val="00A34088"/>
    <w:rPr>
      <w:rFonts w:ascii="Arial" w:hAnsi="Arial" w:cs="Arial"/>
      <w:color w:val="000000"/>
      <w:kern w:val="0"/>
    </w:rPr>
  </w:style>
  <w:style w:type="paragraph" w:styleId="Footer">
    <w:name w:val="footer"/>
    <w:basedOn w:val="Normal"/>
    <w:link w:val="FooterChar"/>
    <w:uiPriority w:val="99"/>
    <w:unhideWhenUsed/>
    <w:rsid w:val="00A34088"/>
    <w:pPr>
      <w:tabs>
        <w:tab w:val="center" w:pos="4680"/>
        <w:tab w:val="right" w:pos="9360"/>
      </w:tabs>
    </w:pPr>
  </w:style>
  <w:style w:type="character" w:customStyle="1" w:styleId="FooterChar">
    <w:name w:val="Footer Char"/>
    <w:link w:val="Footer"/>
    <w:uiPriority w:val="99"/>
    <w:rsid w:val="00A34088"/>
    <w:rPr>
      <w:rFonts w:ascii="Arial" w:hAnsi="Arial" w:cs="Arial"/>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2061</Words>
  <Characters>11751</Characters>
  <Application>Microsoft Office Word</Application>
  <DocSecurity>0</DocSecurity>
  <Lines>97</Lines>
  <Paragraphs>27</Paragraphs>
  <ScaleCrop>false</ScaleCrop>
  <Company/>
  <LinksUpToDate>false</LinksUpToDate>
  <CharactersWithSpaces>13785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Gorbach</dc:creator>
  <cp:keywords/>
  <dc:description/>
  <cp:lastModifiedBy>Brooke Gorbach</cp:lastModifiedBy>
  <cp:revision>2</cp:revision>
  <dcterms:created xsi:type="dcterms:W3CDTF">2025-05-12T15:45:00Z</dcterms:created>
  <dcterms:modified xsi:type="dcterms:W3CDTF">2025-05-12T15:45:00Z</dcterms:modified>
</cp:coreProperties>
</file>