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4EB" w:rsidRDefault="006C64EB">
      <w:pPr>
        <w:pStyle w:val="BodyText"/>
        <w:spacing w:before="9"/>
        <w:rPr>
          <w:rFonts w:ascii="Times New Roman"/>
          <w:sz w:val="11"/>
        </w:rPr>
      </w:pPr>
      <w:bookmarkStart w:id="0" w:name="_GoBack"/>
      <w:bookmarkEnd w:id="0"/>
    </w:p>
    <w:p w:rsidR="006C64EB" w:rsidRDefault="006613EA">
      <w:pPr>
        <w:pStyle w:val="Heading1"/>
        <w:spacing w:before="44"/>
        <w:ind w:left="120" w:firstLine="0"/>
      </w:pPr>
      <w:r>
        <w:t>Course Number and Name: 7750:494 Field Experience Social Agency II</w:t>
      </w:r>
    </w:p>
    <w:p w:rsidR="006C64EB" w:rsidRDefault="006C64EB">
      <w:pPr>
        <w:pStyle w:val="BodyText"/>
        <w:spacing w:before="11"/>
        <w:rPr>
          <w:b/>
          <w:sz w:val="23"/>
        </w:rPr>
      </w:pPr>
    </w:p>
    <w:p w:rsidR="006C64EB" w:rsidRDefault="006613EA">
      <w:pPr>
        <w:pStyle w:val="Heading2"/>
        <w:numPr>
          <w:ilvl w:val="0"/>
          <w:numId w:val="12"/>
        </w:numPr>
        <w:tabs>
          <w:tab w:val="left" w:pos="468"/>
          <w:tab w:val="left" w:pos="469"/>
        </w:tabs>
        <w:ind w:hanging="348"/>
        <w:jc w:val="left"/>
      </w:pPr>
      <w:r>
        <w:t>Course Rationale and Description</w:t>
      </w:r>
    </w:p>
    <w:p w:rsidR="006C64EB" w:rsidRDefault="006C64EB">
      <w:pPr>
        <w:pStyle w:val="BodyText"/>
        <w:spacing w:before="2"/>
        <w:rPr>
          <w:b/>
        </w:rPr>
      </w:pPr>
    </w:p>
    <w:p w:rsidR="006C64EB" w:rsidRDefault="006613EA">
      <w:pPr>
        <w:pStyle w:val="BodyText"/>
        <w:ind w:left="120" w:right="115"/>
        <w:jc w:val="both"/>
      </w:pPr>
      <w:r>
        <w:t xml:space="preserve">This course is the second of two consecutive courses of supervised internship in a social service setting. </w:t>
      </w:r>
      <w:r>
        <w:rPr>
          <w:u w:val="single"/>
        </w:rPr>
        <w:t>No academic credit will be given for previous life experience.</w:t>
      </w:r>
      <w:r>
        <w:t xml:space="preserve"> This course facilitates the continued acquisition of practice skills and experience for generalist social work practice and continues to prepare students for entry into the profession. Generalist practice is conducted in various practice settings with and on behalf of individuals, families, groups, organizations, and communities of diverse, at-risk, and vulnerable populations experiencing a broad range of problems,</w:t>
      </w:r>
      <w:r>
        <w:rPr>
          <w:spacing w:val="-4"/>
        </w:rPr>
        <w:t xml:space="preserve"> </w:t>
      </w:r>
      <w:r>
        <w:t>and</w:t>
      </w:r>
      <w:r>
        <w:rPr>
          <w:spacing w:val="-5"/>
        </w:rPr>
        <w:t xml:space="preserve"> </w:t>
      </w:r>
      <w:r>
        <w:t>is</w:t>
      </w:r>
      <w:r>
        <w:rPr>
          <w:spacing w:val="-4"/>
        </w:rPr>
        <w:t xml:space="preserve"> </w:t>
      </w:r>
      <w:r>
        <w:t>conducted</w:t>
      </w:r>
      <w:r>
        <w:rPr>
          <w:spacing w:val="-3"/>
        </w:rPr>
        <w:t xml:space="preserve"> </w:t>
      </w:r>
      <w:r>
        <w:t>in</w:t>
      </w:r>
      <w:r>
        <w:rPr>
          <w:spacing w:val="-3"/>
        </w:rPr>
        <w:t xml:space="preserve"> </w:t>
      </w:r>
      <w:r>
        <w:t>order</w:t>
      </w:r>
      <w:r>
        <w:rPr>
          <w:spacing w:val="-6"/>
        </w:rPr>
        <w:t xml:space="preserve"> </w:t>
      </w:r>
      <w:r>
        <w:t>to</w:t>
      </w:r>
      <w:r>
        <w:rPr>
          <w:spacing w:val="-6"/>
        </w:rPr>
        <w:t xml:space="preserve"> </w:t>
      </w:r>
      <w:r>
        <w:t>restore</w:t>
      </w:r>
      <w:r>
        <w:rPr>
          <w:spacing w:val="-6"/>
        </w:rPr>
        <w:t xml:space="preserve"> </w:t>
      </w:r>
      <w:r>
        <w:t>and</w:t>
      </w:r>
      <w:r>
        <w:rPr>
          <w:spacing w:val="-3"/>
        </w:rPr>
        <w:t xml:space="preserve"> </w:t>
      </w:r>
      <w:r>
        <w:t>enhance</w:t>
      </w:r>
      <w:r>
        <w:rPr>
          <w:spacing w:val="-3"/>
        </w:rPr>
        <w:t xml:space="preserve"> </w:t>
      </w:r>
      <w:r>
        <w:t>their</w:t>
      </w:r>
      <w:r>
        <w:rPr>
          <w:spacing w:val="-6"/>
        </w:rPr>
        <w:t xml:space="preserve"> </w:t>
      </w:r>
      <w:r>
        <w:t>capacity</w:t>
      </w:r>
      <w:r>
        <w:rPr>
          <w:spacing w:val="-9"/>
        </w:rPr>
        <w:t xml:space="preserve"> </w:t>
      </w:r>
      <w:r>
        <w:t>for</w:t>
      </w:r>
      <w:r>
        <w:rPr>
          <w:spacing w:val="-4"/>
        </w:rPr>
        <w:t xml:space="preserve"> </w:t>
      </w:r>
      <w:r>
        <w:t>social</w:t>
      </w:r>
      <w:r>
        <w:rPr>
          <w:spacing w:val="-6"/>
        </w:rPr>
        <w:t xml:space="preserve"> </w:t>
      </w:r>
      <w:r>
        <w:t>functioning, or to create conditions, including the advancement of social and economic justice, toward that end. Generalist practice requires the application of social work values and ethics, eclectic and empirically-based knowledge, critical-thinking and problem-solving skills, the strengths-based and ecological perspectives, the planned change process from engagement to termination, multiple methods of empirically-based interventions, relevant technological advances, and evaluation of outcomes and practice</w:t>
      </w:r>
      <w:r>
        <w:rPr>
          <w:spacing w:val="-7"/>
        </w:rPr>
        <w:t xml:space="preserve"> </w:t>
      </w:r>
      <w:r>
        <w:t>effectiveness.</w:t>
      </w:r>
    </w:p>
    <w:p w:rsidR="006C64EB" w:rsidRDefault="006C64EB">
      <w:pPr>
        <w:pStyle w:val="BodyText"/>
      </w:pPr>
    </w:p>
    <w:p w:rsidR="006C64EB" w:rsidRDefault="006613EA">
      <w:pPr>
        <w:pStyle w:val="BodyText"/>
        <w:ind w:left="120" w:right="115"/>
        <w:jc w:val="both"/>
      </w:pPr>
      <w:r>
        <w:t>The</w:t>
      </w:r>
      <w:r>
        <w:rPr>
          <w:spacing w:val="-9"/>
        </w:rPr>
        <w:t xml:space="preserve"> </w:t>
      </w:r>
      <w:r>
        <w:t>student</w:t>
      </w:r>
      <w:r>
        <w:rPr>
          <w:spacing w:val="-9"/>
        </w:rPr>
        <w:t xml:space="preserve"> </w:t>
      </w:r>
      <w:r>
        <w:t>is</w:t>
      </w:r>
      <w:r>
        <w:rPr>
          <w:spacing w:val="-10"/>
        </w:rPr>
        <w:t xml:space="preserve"> </w:t>
      </w:r>
      <w:r>
        <w:t>expected</w:t>
      </w:r>
      <w:r>
        <w:rPr>
          <w:spacing w:val="-9"/>
        </w:rPr>
        <w:t xml:space="preserve"> </w:t>
      </w:r>
      <w:r>
        <w:t>to</w:t>
      </w:r>
      <w:r>
        <w:rPr>
          <w:spacing w:val="-7"/>
        </w:rPr>
        <w:t xml:space="preserve"> </w:t>
      </w:r>
      <w:r>
        <w:t>continue</w:t>
      </w:r>
      <w:r>
        <w:rPr>
          <w:spacing w:val="-9"/>
        </w:rPr>
        <w:t xml:space="preserve"> </w:t>
      </w:r>
      <w:r>
        <w:t>to</w:t>
      </w:r>
      <w:r>
        <w:rPr>
          <w:spacing w:val="-7"/>
        </w:rPr>
        <w:t xml:space="preserve"> </w:t>
      </w:r>
      <w:r>
        <w:t>integrate</w:t>
      </w:r>
      <w:r>
        <w:rPr>
          <w:spacing w:val="-9"/>
        </w:rPr>
        <w:t xml:space="preserve"> </w:t>
      </w:r>
      <w:r>
        <w:t>classroom</w:t>
      </w:r>
      <w:r>
        <w:rPr>
          <w:spacing w:val="-7"/>
        </w:rPr>
        <w:t xml:space="preserve"> </w:t>
      </w:r>
      <w:r>
        <w:t>learning</w:t>
      </w:r>
      <w:r>
        <w:rPr>
          <w:spacing w:val="-10"/>
        </w:rPr>
        <w:t xml:space="preserve"> </w:t>
      </w:r>
      <w:r>
        <w:t>--</w:t>
      </w:r>
      <w:r>
        <w:rPr>
          <w:spacing w:val="-9"/>
        </w:rPr>
        <w:t xml:space="preserve"> </w:t>
      </w:r>
      <w:r>
        <w:t>in</w:t>
      </w:r>
      <w:r>
        <w:rPr>
          <w:spacing w:val="-9"/>
        </w:rPr>
        <w:t xml:space="preserve"> </w:t>
      </w:r>
      <w:r>
        <w:t>ethics,</w:t>
      </w:r>
      <w:r>
        <w:rPr>
          <w:spacing w:val="-7"/>
        </w:rPr>
        <w:t xml:space="preserve"> </w:t>
      </w:r>
      <w:r>
        <w:t>human</w:t>
      </w:r>
      <w:r>
        <w:rPr>
          <w:spacing w:val="-11"/>
        </w:rPr>
        <w:t xml:space="preserve"> </w:t>
      </w:r>
      <w:r>
        <w:t>behavior, practice, policy, and research -- and professional skills. Students are expected to be thoughtful and articulate about their practicum experiences. They are to continue a continuous process of analysis, testing, and transferring of learning from one situation to another. They are expected to draw from their broad base of knowledge in analysis of data about the nature and extent of social problems, and the impact of social policy and services on those problems, and in application of knowledge gained from this analysis to a variety of client situations. Students are to grasp the importance of values in the helping process through exposure to diverse cultures, lifestyles, and other aspects of social diversity, becoming knowledgeable and skilled participants in service delivery in accord with social work values and</w:t>
      </w:r>
      <w:r>
        <w:rPr>
          <w:spacing w:val="-1"/>
        </w:rPr>
        <w:t xml:space="preserve"> </w:t>
      </w:r>
      <w:r>
        <w:t>ethics.</w:t>
      </w:r>
    </w:p>
    <w:p w:rsidR="006C64EB" w:rsidRDefault="006C64EB">
      <w:pPr>
        <w:pStyle w:val="BodyText"/>
        <w:spacing w:before="10"/>
        <w:rPr>
          <w:sz w:val="23"/>
        </w:rPr>
      </w:pPr>
    </w:p>
    <w:p w:rsidR="006C64EB" w:rsidRDefault="006613EA">
      <w:pPr>
        <w:pStyle w:val="BodyText"/>
        <w:ind w:left="120" w:right="115"/>
        <w:jc w:val="both"/>
      </w:pPr>
      <w:r>
        <w:t>This is a three (3) credit, required course for all social work majors. Only a previous internship from a program accredited by the Council on Social Work Education may be substituted for this course. Each of the two internship courses is comprised of 225 hours in the field setting. This course is offered co-requisite with Field Experience Seminar II, a two (2) credit course. The student should be a senior candidate for the baccalaureate degree who has completed Field Experience Social Agency I.</w:t>
      </w:r>
    </w:p>
    <w:p w:rsidR="006C64EB" w:rsidRDefault="006C64EB">
      <w:pPr>
        <w:jc w:val="both"/>
        <w:sectPr w:rsidR="006C64EB">
          <w:footerReference w:type="default" r:id="rId8"/>
          <w:type w:val="continuous"/>
          <w:pgSz w:w="12240" w:h="15840"/>
          <w:pgMar w:top="1500" w:right="1320" w:bottom="1940" w:left="1320" w:header="720" w:footer="1758" w:gutter="0"/>
          <w:pgNumType w:start="1"/>
          <w:cols w:space="720"/>
        </w:sectPr>
      </w:pPr>
    </w:p>
    <w:p w:rsidR="006C64EB" w:rsidRDefault="006613EA">
      <w:pPr>
        <w:pStyle w:val="Heading1"/>
        <w:numPr>
          <w:ilvl w:val="0"/>
          <w:numId w:val="12"/>
        </w:numPr>
        <w:tabs>
          <w:tab w:val="left" w:pos="839"/>
          <w:tab w:val="left" w:pos="840"/>
        </w:tabs>
        <w:spacing w:before="44"/>
        <w:ind w:left="840" w:hanging="720"/>
        <w:jc w:val="left"/>
      </w:pPr>
      <w:r>
        <w:lastRenderedPageBreak/>
        <w:t>Mission and Goals of the Undergraduate Social Work</w:t>
      </w:r>
      <w:r>
        <w:rPr>
          <w:spacing w:val="-17"/>
        </w:rPr>
        <w:t xml:space="preserve"> </w:t>
      </w:r>
      <w:r>
        <w:t>Program</w:t>
      </w:r>
    </w:p>
    <w:p w:rsidR="006C64EB" w:rsidRDefault="006C64EB">
      <w:pPr>
        <w:pStyle w:val="BodyText"/>
        <w:spacing w:before="10"/>
        <w:rPr>
          <w:b/>
          <w:sz w:val="37"/>
        </w:rPr>
      </w:pPr>
    </w:p>
    <w:p w:rsidR="006C64EB" w:rsidRDefault="006613EA">
      <w:pPr>
        <w:pStyle w:val="Heading2"/>
      </w:pPr>
      <w:r>
        <w:t>Mission of BA|BASW Program:</w:t>
      </w:r>
    </w:p>
    <w:p w:rsidR="006C64EB" w:rsidRDefault="006C64EB">
      <w:pPr>
        <w:pStyle w:val="BodyText"/>
        <w:spacing w:before="10"/>
        <w:rPr>
          <w:b/>
          <w:sz w:val="33"/>
        </w:rPr>
      </w:pPr>
    </w:p>
    <w:p w:rsidR="006C64EB" w:rsidRDefault="006613EA">
      <w:pPr>
        <w:pStyle w:val="BodyText"/>
        <w:ind w:left="119" w:right="115"/>
        <w:jc w:val="both"/>
      </w:pPr>
      <w:r>
        <w:t>Consistent</w:t>
      </w:r>
      <w:r>
        <w:rPr>
          <w:spacing w:val="-3"/>
        </w:rPr>
        <w:t xml:space="preserve"> </w:t>
      </w:r>
      <w:r>
        <w:t>with</w:t>
      </w:r>
      <w:r>
        <w:rPr>
          <w:spacing w:val="-5"/>
        </w:rPr>
        <w:t xml:space="preserve"> </w:t>
      </w:r>
      <w:r>
        <w:t>the</w:t>
      </w:r>
      <w:r>
        <w:rPr>
          <w:spacing w:val="-6"/>
        </w:rPr>
        <w:t xml:space="preserve"> </w:t>
      </w:r>
      <w:r>
        <w:t>mission</w:t>
      </w:r>
      <w:r>
        <w:rPr>
          <w:spacing w:val="-3"/>
        </w:rPr>
        <w:t xml:space="preserve"> </w:t>
      </w:r>
      <w:r>
        <w:t>of</w:t>
      </w:r>
      <w:r>
        <w:rPr>
          <w:spacing w:val="-5"/>
        </w:rPr>
        <w:t xml:space="preserve"> </w:t>
      </w:r>
      <w:r>
        <w:t>the</w:t>
      </w:r>
      <w:r>
        <w:rPr>
          <w:spacing w:val="-6"/>
        </w:rPr>
        <w:t xml:space="preserve"> </w:t>
      </w:r>
      <w:r>
        <w:t>University</w:t>
      </w:r>
      <w:r>
        <w:rPr>
          <w:spacing w:val="-5"/>
        </w:rPr>
        <w:t xml:space="preserve"> </w:t>
      </w:r>
      <w:r>
        <w:t>of</w:t>
      </w:r>
      <w:r>
        <w:rPr>
          <w:spacing w:val="-3"/>
        </w:rPr>
        <w:t xml:space="preserve"> </w:t>
      </w:r>
      <w:r>
        <w:t>Akron</w:t>
      </w:r>
      <w:r>
        <w:rPr>
          <w:spacing w:val="-3"/>
        </w:rPr>
        <w:t xml:space="preserve"> </w:t>
      </w:r>
      <w:r>
        <w:t>and</w:t>
      </w:r>
      <w:r>
        <w:rPr>
          <w:spacing w:val="-5"/>
        </w:rPr>
        <w:t xml:space="preserve"> </w:t>
      </w:r>
      <w:r>
        <w:t>the</w:t>
      </w:r>
      <w:r>
        <w:rPr>
          <w:spacing w:val="-6"/>
        </w:rPr>
        <w:t xml:space="preserve"> </w:t>
      </w:r>
      <w:r>
        <w:t>College</w:t>
      </w:r>
      <w:r>
        <w:rPr>
          <w:spacing w:val="-6"/>
        </w:rPr>
        <w:t xml:space="preserve"> </w:t>
      </w:r>
      <w:r>
        <w:t>of</w:t>
      </w:r>
      <w:r>
        <w:rPr>
          <w:spacing w:val="-8"/>
        </w:rPr>
        <w:t xml:space="preserve"> </w:t>
      </w:r>
      <w:r>
        <w:t>Health</w:t>
      </w:r>
      <w:r>
        <w:rPr>
          <w:spacing w:val="-5"/>
        </w:rPr>
        <w:t xml:space="preserve"> </w:t>
      </w:r>
      <w:r>
        <w:t>Professions,</w:t>
      </w:r>
      <w:r>
        <w:rPr>
          <w:spacing w:val="-6"/>
        </w:rPr>
        <w:t xml:space="preserve"> </w:t>
      </w:r>
      <w:r>
        <w:t>the mission of the undergraduate social work program is to prepare students for competent and effective generalist practice. We are committed to empowerment and strengths-based practice through</w:t>
      </w:r>
      <w:r>
        <w:rPr>
          <w:spacing w:val="-11"/>
        </w:rPr>
        <w:t xml:space="preserve"> </w:t>
      </w:r>
      <w:r>
        <w:t>the</w:t>
      </w:r>
      <w:r>
        <w:rPr>
          <w:spacing w:val="-12"/>
        </w:rPr>
        <w:t xml:space="preserve"> </w:t>
      </w:r>
      <w:r>
        <w:t>application</w:t>
      </w:r>
      <w:r>
        <w:rPr>
          <w:spacing w:val="-11"/>
        </w:rPr>
        <w:t xml:space="preserve"> </w:t>
      </w:r>
      <w:r>
        <w:t>of</w:t>
      </w:r>
      <w:r>
        <w:rPr>
          <w:spacing w:val="-9"/>
        </w:rPr>
        <w:t xml:space="preserve"> </w:t>
      </w:r>
      <w:r>
        <w:t>critical</w:t>
      </w:r>
      <w:r>
        <w:rPr>
          <w:spacing w:val="-12"/>
        </w:rPr>
        <w:t xml:space="preserve"> </w:t>
      </w:r>
      <w:r>
        <w:t>thinking</w:t>
      </w:r>
      <w:r>
        <w:rPr>
          <w:spacing w:val="-10"/>
        </w:rPr>
        <w:t xml:space="preserve"> </w:t>
      </w:r>
      <w:r>
        <w:t>skills.</w:t>
      </w:r>
      <w:r>
        <w:rPr>
          <w:spacing w:val="-10"/>
        </w:rPr>
        <w:t xml:space="preserve"> </w:t>
      </w:r>
      <w:r>
        <w:t>We</w:t>
      </w:r>
      <w:r>
        <w:rPr>
          <w:spacing w:val="-9"/>
        </w:rPr>
        <w:t xml:space="preserve"> </w:t>
      </w:r>
      <w:r>
        <w:t>engage</w:t>
      </w:r>
      <w:r>
        <w:rPr>
          <w:spacing w:val="-12"/>
        </w:rPr>
        <w:t xml:space="preserve"> </w:t>
      </w:r>
      <w:r>
        <w:t>the</w:t>
      </w:r>
      <w:r>
        <w:rPr>
          <w:spacing w:val="-12"/>
        </w:rPr>
        <w:t xml:space="preserve"> </w:t>
      </w:r>
      <w:r>
        <w:t>diverse</w:t>
      </w:r>
      <w:r>
        <w:rPr>
          <w:spacing w:val="-12"/>
        </w:rPr>
        <w:t xml:space="preserve"> </w:t>
      </w:r>
      <w:r>
        <w:t>populations</w:t>
      </w:r>
      <w:r>
        <w:rPr>
          <w:spacing w:val="-12"/>
        </w:rPr>
        <w:t xml:space="preserve"> </w:t>
      </w:r>
      <w:r>
        <w:t>of</w:t>
      </w:r>
      <w:r>
        <w:rPr>
          <w:spacing w:val="-11"/>
        </w:rPr>
        <w:t xml:space="preserve"> </w:t>
      </w:r>
      <w:r>
        <w:t>Northeast Ohio to strengthen systemic</w:t>
      </w:r>
      <w:r>
        <w:rPr>
          <w:spacing w:val="2"/>
        </w:rPr>
        <w:t xml:space="preserve"> </w:t>
      </w:r>
      <w:r>
        <w:t>well-being.</w:t>
      </w:r>
    </w:p>
    <w:p w:rsidR="006C64EB" w:rsidRDefault="006C64EB">
      <w:pPr>
        <w:pStyle w:val="BodyText"/>
        <w:spacing w:before="7"/>
        <w:rPr>
          <w:sz w:val="19"/>
        </w:rPr>
      </w:pPr>
    </w:p>
    <w:p w:rsidR="006C64EB" w:rsidRDefault="006613EA">
      <w:pPr>
        <w:pStyle w:val="Heading2"/>
      </w:pPr>
      <w:r>
        <w:t>The goals of the undergraduate social work program are to:</w:t>
      </w:r>
    </w:p>
    <w:p w:rsidR="006C64EB" w:rsidRDefault="006C64EB">
      <w:pPr>
        <w:pStyle w:val="BodyText"/>
        <w:rPr>
          <w:b/>
          <w:sz w:val="34"/>
        </w:rPr>
      </w:pPr>
    </w:p>
    <w:p w:rsidR="006C64EB" w:rsidRDefault="006613EA">
      <w:pPr>
        <w:pStyle w:val="ListParagraph"/>
        <w:numPr>
          <w:ilvl w:val="1"/>
          <w:numId w:val="12"/>
        </w:numPr>
        <w:tabs>
          <w:tab w:val="left" w:pos="840"/>
        </w:tabs>
        <w:ind w:right="181"/>
        <w:rPr>
          <w:sz w:val="24"/>
        </w:rPr>
      </w:pPr>
      <w:r>
        <w:rPr>
          <w:sz w:val="24"/>
        </w:rPr>
        <w:t>Prepare students to integrate the knowledge, values, and skills of the social work profession for competent and effective generalist practice with diverse client systems in various practice</w:t>
      </w:r>
      <w:r>
        <w:rPr>
          <w:spacing w:val="-2"/>
          <w:sz w:val="24"/>
        </w:rPr>
        <w:t xml:space="preserve"> </w:t>
      </w:r>
      <w:r>
        <w:rPr>
          <w:sz w:val="24"/>
        </w:rPr>
        <w:t>settings.</w:t>
      </w:r>
    </w:p>
    <w:p w:rsidR="006C64EB" w:rsidRDefault="006C64EB">
      <w:pPr>
        <w:pStyle w:val="BodyText"/>
        <w:spacing w:before="11"/>
        <w:rPr>
          <w:sz w:val="23"/>
        </w:rPr>
      </w:pPr>
    </w:p>
    <w:p w:rsidR="006C64EB" w:rsidRDefault="006613EA">
      <w:pPr>
        <w:pStyle w:val="ListParagraph"/>
        <w:numPr>
          <w:ilvl w:val="1"/>
          <w:numId w:val="12"/>
        </w:numPr>
        <w:tabs>
          <w:tab w:val="left" w:pos="895"/>
          <w:tab w:val="left" w:pos="896"/>
        </w:tabs>
        <w:spacing w:before="1"/>
        <w:ind w:right="686"/>
        <w:rPr>
          <w:sz w:val="24"/>
        </w:rPr>
      </w:pPr>
      <w:r>
        <w:rPr>
          <w:sz w:val="24"/>
        </w:rPr>
        <w:t>Prepare students to identify the strengths and abilities of diverse client systems to foster empowerment toward social justice and systemic</w:t>
      </w:r>
      <w:r>
        <w:rPr>
          <w:spacing w:val="-3"/>
          <w:sz w:val="24"/>
        </w:rPr>
        <w:t xml:space="preserve"> </w:t>
      </w:r>
      <w:r>
        <w:rPr>
          <w:sz w:val="24"/>
        </w:rPr>
        <w:t>well-being.</w:t>
      </w:r>
    </w:p>
    <w:p w:rsidR="006C64EB" w:rsidRDefault="006C64EB">
      <w:pPr>
        <w:pStyle w:val="BodyText"/>
        <w:spacing w:before="11"/>
        <w:rPr>
          <w:sz w:val="23"/>
        </w:rPr>
      </w:pPr>
    </w:p>
    <w:p w:rsidR="006C64EB" w:rsidRDefault="006613EA">
      <w:pPr>
        <w:pStyle w:val="ListParagraph"/>
        <w:numPr>
          <w:ilvl w:val="1"/>
          <w:numId w:val="12"/>
        </w:numPr>
        <w:tabs>
          <w:tab w:val="left" w:pos="895"/>
          <w:tab w:val="left" w:pos="896"/>
        </w:tabs>
        <w:ind w:right="487"/>
        <w:rPr>
          <w:sz w:val="24"/>
        </w:rPr>
      </w:pPr>
      <w:r>
        <w:rPr>
          <w:sz w:val="24"/>
        </w:rPr>
        <w:t>Prepare students to utilize theoretically-based social work research, knowledge, and critical thinking skills for effective and ethical social work</w:t>
      </w:r>
      <w:r>
        <w:rPr>
          <w:spacing w:val="-8"/>
          <w:sz w:val="24"/>
        </w:rPr>
        <w:t xml:space="preserve"> </w:t>
      </w:r>
      <w:r>
        <w:rPr>
          <w:sz w:val="24"/>
        </w:rPr>
        <w:t>practice.</w:t>
      </w:r>
    </w:p>
    <w:p w:rsidR="006C64EB" w:rsidRDefault="006C64EB">
      <w:pPr>
        <w:pStyle w:val="BodyText"/>
      </w:pPr>
    </w:p>
    <w:p w:rsidR="006C64EB" w:rsidRDefault="006613EA">
      <w:pPr>
        <w:pStyle w:val="Heading1"/>
        <w:numPr>
          <w:ilvl w:val="0"/>
          <w:numId w:val="12"/>
        </w:numPr>
        <w:tabs>
          <w:tab w:val="left" w:pos="840"/>
          <w:tab w:val="left" w:pos="841"/>
        </w:tabs>
        <w:spacing w:before="199"/>
        <w:ind w:left="840" w:hanging="720"/>
        <w:jc w:val="left"/>
      </w:pPr>
      <w:bookmarkStart w:id="1" w:name="III.__Social_Work_Core_Competencies_and_"/>
      <w:bookmarkEnd w:id="1"/>
      <w:r>
        <w:t>Social Work Core Competencies and Practice</w:t>
      </w:r>
      <w:r>
        <w:rPr>
          <w:spacing w:val="-12"/>
        </w:rPr>
        <w:t xml:space="preserve"> </w:t>
      </w:r>
      <w:r>
        <w:t>Behaviors</w:t>
      </w:r>
    </w:p>
    <w:p w:rsidR="006C64EB" w:rsidRDefault="006C64EB">
      <w:pPr>
        <w:pStyle w:val="BodyText"/>
        <w:rPr>
          <w:b/>
          <w:sz w:val="28"/>
        </w:rPr>
      </w:pPr>
    </w:p>
    <w:p w:rsidR="001151C7" w:rsidRDefault="006613EA" w:rsidP="001151C7">
      <w:pPr>
        <w:pStyle w:val="BodyText"/>
        <w:spacing w:before="52"/>
        <w:ind w:left="119" w:right="115"/>
        <w:jc w:val="both"/>
      </w:pPr>
      <w:bookmarkStart w:id="2" w:name="The_School_of_Social_Work_is_accredited_"/>
      <w:bookmarkEnd w:id="2"/>
      <w:r>
        <w:t>The School of Social Work is accredited by the Council on Social Work Education (CSWE). We support and abide by the CSWE Commission on Accreditation’s Educational Policies for social work education, including an approach that is competency-based.</w:t>
      </w:r>
      <w:bookmarkStart w:id="3" w:name="Competency-based_education_is_an_outcome"/>
      <w:bookmarkEnd w:id="3"/>
      <w:r w:rsidR="001151C7">
        <w:t xml:space="preserve"> The</w:t>
      </w:r>
      <w:r w:rsidR="001151C7">
        <w:rPr>
          <w:spacing w:val="-3"/>
        </w:rPr>
        <w:t xml:space="preserve"> </w:t>
      </w:r>
      <w:r w:rsidR="001151C7">
        <w:t>University</w:t>
      </w:r>
      <w:r w:rsidR="001151C7">
        <w:rPr>
          <w:spacing w:val="-7"/>
        </w:rPr>
        <w:t xml:space="preserve"> </w:t>
      </w:r>
      <w:r w:rsidR="001151C7">
        <w:t>of</w:t>
      </w:r>
      <w:r w:rsidR="001151C7">
        <w:rPr>
          <w:spacing w:val="-5"/>
        </w:rPr>
        <w:t xml:space="preserve"> </w:t>
      </w:r>
      <w:r w:rsidR="001151C7">
        <w:t>Akron</w:t>
      </w:r>
      <w:r w:rsidR="001151C7">
        <w:rPr>
          <w:spacing w:val="-5"/>
        </w:rPr>
        <w:t xml:space="preserve"> </w:t>
      </w:r>
      <w:r w:rsidR="001151C7">
        <w:t>School</w:t>
      </w:r>
      <w:r w:rsidR="001151C7">
        <w:rPr>
          <w:spacing w:val="-4"/>
        </w:rPr>
        <w:t xml:space="preserve"> </w:t>
      </w:r>
      <w:r w:rsidR="001151C7">
        <w:t>of</w:t>
      </w:r>
      <w:r w:rsidR="001151C7">
        <w:rPr>
          <w:spacing w:val="-3"/>
        </w:rPr>
        <w:t xml:space="preserve"> </w:t>
      </w:r>
      <w:r w:rsidR="001151C7">
        <w:t>Social</w:t>
      </w:r>
      <w:r w:rsidR="001151C7">
        <w:rPr>
          <w:spacing w:val="-4"/>
        </w:rPr>
        <w:t xml:space="preserve"> </w:t>
      </w:r>
      <w:r w:rsidR="001151C7">
        <w:t>Work</w:t>
      </w:r>
      <w:r w:rsidR="001151C7">
        <w:rPr>
          <w:spacing w:val="-5"/>
        </w:rPr>
        <w:t xml:space="preserve"> </w:t>
      </w:r>
      <w:r w:rsidR="001151C7">
        <w:t>lists</w:t>
      </w:r>
      <w:r w:rsidR="001151C7">
        <w:rPr>
          <w:spacing w:val="-7"/>
        </w:rPr>
        <w:t xml:space="preserve"> </w:t>
      </w:r>
      <w:r w:rsidR="001151C7">
        <w:t>these</w:t>
      </w:r>
      <w:r w:rsidR="001151C7">
        <w:rPr>
          <w:spacing w:val="-3"/>
        </w:rPr>
        <w:t xml:space="preserve"> </w:t>
      </w:r>
      <w:r w:rsidR="001151C7">
        <w:t>competencies</w:t>
      </w:r>
      <w:r w:rsidR="001151C7">
        <w:rPr>
          <w:spacing w:val="-7"/>
        </w:rPr>
        <w:t xml:space="preserve"> </w:t>
      </w:r>
      <w:r w:rsidR="001151C7">
        <w:t>and</w:t>
      </w:r>
      <w:r w:rsidR="001151C7">
        <w:rPr>
          <w:spacing w:val="-5"/>
        </w:rPr>
        <w:t xml:space="preserve"> </w:t>
      </w:r>
      <w:r w:rsidR="001151C7">
        <w:t>practice</w:t>
      </w:r>
      <w:r w:rsidR="001151C7">
        <w:rPr>
          <w:spacing w:val="-6"/>
        </w:rPr>
        <w:t xml:space="preserve"> </w:t>
      </w:r>
      <w:r w:rsidR="001151C7">
        <w:t>behaviors</w:t>
      </w:r>
      <w:r w:rsidR="001151C7">
        <w:rPr>
          <w:spacing w:val="-7"/>
        </w:rPr>
        <w:t xml:space="preserve"> </w:t>
      </w:r>
      <w:r w:rsidR="001151C7">
        <w:t>in each syllabus to emphasize their importance in social work education. Each graduate of the School of Social Work is expected to demonstrate mastery of these competencies and practice behaviors. While not all competencies and practice behaviors are addressed in each course, all are listed in each syllabus. By the time students complete the social work major, they will be assessed on each of the competencies and practice behaviors identified in the syllabi. This process is part of the overall assessment plan of the undergraduate social work</w:t>
      </w:r>
      <w:r w:rsidR="001151C7">
        <w:rPr>
          <w:spacing w:val="-21"/>
        </w:rPr>
        <w:t xml:space="preserve"> </w:t>
      </w:r>
      <w:r w:rsidR="001151C7">
        <w:t>program.</w:t>
      </w:r>
    </w:p>
    <w:p w:rsidR="001151C7" w:rsidRDefault="001151C7" w:rsidP="001151C7">
      <w:pPr>
        <w:pStyle w:val="BodyText"/>
        <w:ind w:left="120" w:right="413"/>
        <w:jc w:val="both"/>
      </w:pPr>
    </w:p>
    <w:p w:rsidR="00477EE4" w:rsidRDefault="00477EE4" w:rsidP="001151C7">
      <w:pPr>
        <w:pStyle w:val="BodyText"/>
        <w:ind w:left="120" w:right="413"/>
        <w:jc w:val="both"/>
      </w:pPr>
      <w:r>
        <w:t>The 2015 EPAS recognizes competence as holistic; this means that the demonstration of competence is informed by the appropriate knowledge, values, skills, and cognitive and affective processes.</w:t>
      </w:r>
      <w:r w:rsidR="001151C7">
        <w:t xml:space="preserve"> </w:t>
      </w:r>
      <w:r>
        <w:t xml:space="preserve">Each of the nine social work competencies listed in the EPAS is followed by a paragraph that describes the competency. This description contains dimensions of the </w:t>
      </w:r>
      <w:r>
        <w:lastRenderedPageBreak/>
        <w:t xml:space="preserve">competency necessary for learning and developing competence throughout the course of a program.  </w:t>
      </w:r>
    </w:p>
    <w:p w:rsidR="00477EE4" w:rsidRDefault="00477EE4" w:rsidP="001151C7">
      <w:pPr>
        <w:ind w:firstLine="360"/>
      </w:pPr>
      <w:r>
        <w:t>The dimensions are:</w:t>
      </w:r>
    </w:p>
    <w:p w:rsidR="00477EE4" w:rsidRPr="00781AD0" w:rsidRDefault="00477EE4" w:rsidP="00477EE4">
      <w:pPr>
        <w:pStyle w:val="ListParagraph"/>
        <w:widowControl/>
        <w:numPr>
          <w:ilvl w:val="0"/>
          <w:numId w:val="14"/>
        </w:numPr>
        <w:autoSpaceDE/>
        <w:autoSpaceDN/>
        <w:spacing w:after="160" w:line="259" w:lineRule="auto"/>
        <w:contextualSpacing/>
        <w:rPr>
          <w:b/>
        </w:rPr>
      </w:pPr>
      <w:r w:rsidRPr="00781AD0">
        <w:rPr>
          <w:b/>
        </w:rPr>
        <w:t>Knowledge</w:t>
      </w:r>
    </w:p>
    <w:p w:rsidR="00477EE4" w:rsidRPr="00781AD0" w:rsidRDefault="00477EE4" w:rsidP="00477EE4">
      <w:pPr>
        <w:pStyle w:val="ListParagraph"/>
        <w:widowControl/>
        <w:numPr>
          <w:ilvl w:val="0"/>
          <w:numId w:val="14"/>
        </w:numPr>
        <w:autoSpaceDE/>
        <w:autoSpaceDN/>
        <w:spacing w:after="160" w:line="259" w:lineRule="auto"/>
        <w:contextualSpacing/>
        <w:rPr>
          <w:b/>
        </w:rPr>
      </w:pPr>
      <w:r w:rsidRPr="00781AD0">
        <w:rPr>
          <w:b/>
        </w:rPr>
        <w:t>Values</w:t>
      </w:r>
    </w:p>
    <w:p w:rsidR="00477EE4" w:rsidRPr="00781AD0" w:rsidRDefault="00477EE4" w:rsidP="00477EE4">
      <w:pPr>
        <w:pStyle w:val="ListParagraph"/>
        <w:widowControl/>
        <w:numPr>
          <w:ilvl w:val="0"/>
          <w:numId w:val="14"/>
        </w:numPr>
        <w:autoSpaceDE/>
        <w:autoSpaceDN/>
        <w:spacing w:after="160" w:line="259" w:lineRule="auto"/>
        <w:contextualSpacing/>
        <w:rPr>
          <w:b/>
        </w:rPr>
      </w:pPr>
      <w:r w:rsidRPr="00781AD0">
        <w:rPr>
          <w:b/>
        </w:rPr>
        <w:t xml:space="preserve">Skills </w:t>
      </w:r>
    </w:p>
    <w:p w:rsidR="00477EE4" w:rsidRPr="00781AD0" w:rsidRDefault="00477EE4" w:rsidP="00477EE4">
      <w:pPr>
        <w:pStyle w:val="ListParagraph"/>
        <w:widowControl/>
        <w:numPr>
          <w:ilvl w:val="0"/>
          <w:numId w:val="14"/>
        </w:numPr>
        <w:autoSpaceDE/>
        <w:autoSpaceDN/>
        <w:spacing w:after="160" w:line="259" w:lineRule="auto"/>
        <w:contextualSpacing/>
        <w:rPr>
          <w:b/>
        </w:rPr>
      </w:pPr>
      <w:r w:rsidRPr="00781AD0">
        <w:rPr>
          <w:b/>
        </w:rPr>
        <w:t>Cognitive and Affective Processes</w:t>
      </w:r>
    </w:p>
    <w:p w:rsidR="00477EE4" w:rsidRDefault="00477EE4" w:rsidP="00477EE4">
      <w:r>
        <w:t>The description and dimensions as written in the EPAS should be reflected in the generalist social work curriculum.  This curriculum prepares students for the demonstration of competence through the behaviors associated with the competency.</w:t>
      </w:r>
    </w:p>
    <w:p w:rsidR="001151C7" w:rsidRPr="00B548F6" w:rsidRDefault="001151C7" w:rsidP="00477EE4"/>
    <w:p w:rsidR="00477EE4" w:rsidRPr="006D1D3F" w:rsidRDefault="00477EE4" w:rsidP="00477EE4">
      <w:pPr>
        <w:rPr>
          <w:b/>
        </w:rPr>
      </w:pPr>
      <w:r w:rsidRPr="006D1D3F">
        <w:rPr>
          <w:b/>
        </w:rPr>
        <w:t>Understanding Generalist Practice and Areas of Specialized Practice</w:t>
      </w:r>
    </w:p>
    <w:p w:rsidR="00477EE4" w:rsidRDefault="00477EE4" w:rsidP="00477EE4">
      <w:pPr>
        <w:rPr>
          <w:b/>
        </w:rPr>
      </w:pPr>
      <w:r>
        <w:rPr>
          <w:b/>
        </w:rPr>
        <w:t>Generalist Practice is defined as practice with diverse individuals, families, groups, organizations and communities.</w:t>
      </w:r>
    </w:p>
    <w:p w:rsidR="00477EE4" w:rsidRPr="009024BB" w:rsidRDefault="00477EE4" w:rsidP="00477EE4">
      <w:pPr>
        <w:pStyle w:val="ListParagraph"/>
        <w:widowControl/>
        <w:numPr>
          <w:ilvl w:val="0"/>
          <w:numId w:val="13"/>
        </w:numPr>
        <w:autoSpaceDE/>
        <w:autoSpaceDN/>
        <w:spacing w:after="160" w:line="259" w:lineRule="auto"/>
        <w:contextualSpacing/>
      </w:pPr>
      <w:r w:rsidRPr="009024BB">
        <w:t>Grounded in liberal arts and person-in-environment framework</w:t>
      </w:r>
    </w:p>
    <w:p w:rsidR="00477EE4" w:rsidRPr="009024BB" w:rsidRDefault="00477EE4" w:rsidP="00477EE4">
      <w:pPr>
        <w:pStyle w:val="ListParagraph"/>
        <w:widowControl/>
        <w:numPr>
          <w:ilvl w:val="0"/>
          <w:numId w:val="13"/>
        </w:numPr>
        <w:autoSpaceDE/>
        <w:autoSpaceDN/>
        <w:spacing w:after="160" w:line="259" w:lineRule="auto"/>
        <w:contextualSpacing/>
        <w:rPr>
          <w:b/>
        </w:rPr>
      </w:pPr>
      <w:r>
        <w:t>Uses scientific inquiry, ethical principles and critical thinking in practice at the micro, mezzo and macro levels</w:t>
      </w:r>
    </w:p>
    <w:p w:rsidR="00477EE4" w:rsidRPr="009024BB" w:rsidRDefault="00477EE4" w:rsidP="00477EE4">
      <w:pPr>
        <w:pStyle w:val="ListParagraph"/>
        <w:widowControl/>
        <w:numPr>
          <w:ilvl w:val="0"/>
          <w:numId w:val="13"/>
        </w:numPr>
        <w:autoSpaceDE/>
        <w:autoSpaceDN/>
        <w:spacing w:after="160" w:line="259" w:lineRule="auto"/>
        <w:contextualSpacing/>
        <w:rPr>
          <w:b/>
        </w:rPr>
      </w:pPr>
      <w:r>
        <w:t>Engages diversity in practice and advocates for human rights and social and economic justice</w:t>
      </w:r>
    </w:p>
    <w:p w:rsidR="00477EE4" w:rsidRPr="009024BB" w:rsidRDefault="00477EE4" w:rsidP="00477EE4">
      <w:pPr>
        <w:pStyle w:val="ListParagraph"/>
        <w:widowControl/>
        <w:numPr>
          <w:ilvl w:val="0"/>
          <w:numId w:val="13"/>
        </w:numPr>
        <w:autoSpaceDE/>
        <w:autoSpaceDN/>
        <w:spacing w:after="160" w:line="259" w:lineRule="auto"/>
        <w:contextualSpacing/>
        <w:rPr>
          <w:b/>
        </w:rPr>
      </w:pPr>
      <w:r>
        <w:t>Recognize and build upon the strengths and resiliency of all human beings</w:t>
      </w:r>
    </w:p>
    <w:p w:rsidR="00477EE4" w:rsidRPr="009024BB" w:rsidRDefault="00477EE4" w:rsidP="00477EE4">
      <w:pPr>
        <w:ind w:left="360"/>
      </w:pPr>
      <w:r>
        <w:t xml:space="preserve">For generalist practice, baccalaureate and master’s programs are required to implement the nine social work competencies and any additional competencies in their curricula relevant to their context. For generalist practice, programs may use some or all of the behaviors listed in the EPAS or develop other behaviors that represent observable components of each competency that integrate the dimensions (CSWE Commission on Accreditation, 2017).  </w:t>
      </w:r>
    </w:p>
    <w:p w:rsidR="00477EE4" w:rsidRDefault="00477EE4">
      <w:pPr>
        <w:pStyle w:val="BodyText"/>
        <w:ind w:left="840" w:right="894"/>
      </w:pPr>
    </w:p>
    <w:p w:rsidR="00477EE4" w:rsidRPr="00477EE4" w:rsidRDefault="00477EE4" w:rsidP="00477EE4">
      <w:pPr>
        <w:pStyle w:val="BodyText"/>
        <w:spacing w:before="3"/>
        <w:rPr>
          <w:b/>
          <w:bCs/>
        </w:rPr>
      </w:pPr>
      <w:bookmarkStart w:id="4" w:name="The_University_of_Akron_School_of_Social"/>
      <w:bookmarkEnd w:id="4"/>
      <w:r w:rsidRPr="00477EE4">
        <w:rPr>
          <w:b/>
          <w:bCs/>
        </w:rPr>
        <w:t>Competency 1: Demonstrate Ethical and Professional Behavior</w:t>
      </w:r>
    </w:p>
    <w:p w:rsidR="00477EE4" w:rsidRDefault="00477EE4" w:rsidP="00477EE4">
      <w:pPr>
        <w:pStyle w:val="BodyText"/>
        <w:spacing w:before="3"/>
        <w:rPr>
          <w:bCs/>
        </w:rPr>
      </w:pPr>
      <w:r w:rsidRPr="00477EE4">
        <w:rPr>
          <w:bCs/>
        </w:rPr>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w:t>
      </w:r>
    </w:p>
    <w:p w:rsidR="00477EE4" w:rsidRPr="00477EE4" w:rsidRDefault="00477EE4" w:rsidP="00477EE4">
      <w:pPr>
        <w:pStyle w:val="BodyText"/>
        <w:spacing w:before="3"/>
        <w:rPr>
          <w:bCs/>
        </w:rPr>
      </w:pPr>
    </w:p>
    <w:p w:rsidR="00477EE4" w:rsidRDefault="00477EE4" w:rsidP="00477EE4">
      <w:pPr>
        <w:pStyle w:val="BodyText"/>
        <w:spacing w:before="3"/>
        <w:rPr>
          <w:bCs/>
        </w:rPr>
      </w:pPr>
      <w:r>
        <w:rPr>
          <w:bCs/>
        </w:rPr>
        <w:t>*</w:t>
      </w:r>
      <w:r w:rsidRPr="00477EE4">
        <w:rPr>
          <w:bCs/>
        </w:rPr>
        <w:t>make ethical decisions by applying the standards of the NASW Code of Ethics, relevant laws and regulations, models for ethical decision-making, ethical conduct of research, and additional codes of et</w:t>
      </w:r>
      <w:r>
        <w:rPr>
          <w:bCs/>
        </w:rPr>
        <w:t>hics as appropriate to context;</w:t>
      </w:r>
    </w:p>
    <w:p w:rsidR="00477EE4" w:rsidRDefault="00477EE4" w:rsidP="00477EE4">
      <w:pPr>
        <w:pStyle w:val="BodyText"/>
        <w:spacing w:before="3"/>
        <w:rPr>
          <w:bCs/>
        </w:rPr>
      </w:pPr>
      <w:r>
        <w:rPr>
          <w:bCs/>
        </w:rPr>
        <w:lastRenderedPageBreak/>
        <w:t>*</w:t>
      </w:r>
      <w:r w:rsidRPr="00477EE4">
        <w:rPr>
          <w:bCs/>
        </w:rPr>
        <w:t xml:space="preserve"> use reflection and self-regulation to manage personal values and maintain professi</w:t>
      </w:r>
      <w:r>
        <w:rPr>
          <w:bCs/>
        </w:rPr>
        <w:t xml:space="preserve">onalism in practice situations; </w:t>
      </w:r>
    </w:p>
    <w:p w:rsidR="00477EE4" w:rsidRPr="00477EE4" w:rsidRDefault="00477EE4" w:rsidP="00477EE4">
      <w:pPr>
        <w:pStyle w:val="BodyText"/>
        <w:spacing w:before="3"/>
        <w:rPr>
          <w:bCs/>
        </w:rPr>
      </w:pPr>
      <w:r>
        <w:rPr>
          <w:bCs/>
        </w:rPr>
        <w:t>*</w:t>
      </w:r>
      <w:r w:rsidRPr="00477EE4">
        <w:rPr>
          <w:bCs/>
        </w:rPr>
        <w:t xml:space="preserve"> demonstrate professional demeanor in behavior; appearance; and oral, written, and electronic communication;</w:t>
      </w:r>
    </w:p>
    <w:p w:rsidR="00477EE4" w:rsidRPr="00477EE4" w:rsidRDefault="00477EE4" w:rsidP="00477EE4">
      <w:pPr>
        <w:pStyle w:val="BodyText"/>
        <w:spacing w:before="3"/>
        <w:rPr>
          <w:bCs/>
        </w:rPr>
      </w:pPr>
      <w:r>
        <w:rPr>
          <w:bCs/>
        </w:rPr>
        <w:t>*</w:t>
      </w:r>
      <w:r w:rsidRPr="00477EE4">
        <w:rPr>
          <w:bCs/>
        </w:rPr>
        <w:t xml:space="preserve"> use technology ethically and appropriately to facilitate practice outcomes; and</w:t>
      </w:r>
    </w:p>
    <w:p w:rsidR="00477EE4" w:rsidRPr="00477EE4" w:rsidRDefault="00477EE4" w:rsidP="00477EE4">
      <w:pPr>
        <w:pStyle w:val="BodyText"/>
        <w:spacing w:before="3"/>
        <w:rPr>
          <w:bCs/>
        </w:rPr>
      </w:pPr>
      <w:r>
        <w:rPr>
          <w:bCs/>
        </w:rPr>
        <w:t>*</w:t>
      </w:r>
      <w:r w:rsidRPr="00477EE4">
        <w:rPr>
          <w:bCs/>
        </w:rPr>
        <w:t xml:space="preserve"> use supervision and consultation to guide professional judgment and behavior.</w:t>
      </w:r>
    </w:p>
    <w:p w:rsidR="00477EE4" w:rsidRDefault="00477EE4" w:rsidP="00477EE4">
      <w:pPr>
        <w:pStyle w:val="BodyText"/>
        <w:spacing w:before="3"/>
        <w:rPr>
          <w:bCs/>
        </w:rPr>
      </w:pPr>
    </w:p>
    <w:p w:rsidR="00477EE4" w:rsidRPr="00477EE4" w:rsidRDefault="00477EE4" w:rsidP="00477EE4">
      <w:pPr>
        <w:pStyle w:val="BodyText"/>
        <w:spacing w:before="3"/>
        <w:rPr>
          <w:b/>
          <w:bCs/>
        </w:rPr>
      </w:pPr>
      <w:r w:rsidRPr="00477EE4">
        <w:rPr>
          <w:b/>
          <w:bCs/>
        </w:rPr>
        <w:t>Competency 2: Engage Diversity and Difference in Practice</w:t>
      </w:r>
    </w:p>
    <w:p w:rsidR="00477EE4" w:rsidRPr="00477EE4" w:rsidRDefault="00477EE4" w:rsidP="00477EE4">
      <w:pPr>
        <w:pStyle w:val="BodyText"/>
        <w:spacing w:before="3"/>
        <w:rPr>
          <w:bCs/>
        </w:rPr>
      </w:pPr>
      <w:r w:rsidRPr="00477EE4">
        <w:rPr>
          <w:bCs/>
        </w:rPr>
        <w:t>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Social workers:</w:t>
      </w:r>
    </w:p>
    <w:p w:rsidR="00477EE4" w:rsidRPr="00477EE4" w:rsidRDefault="00477EE4" w:rsidP="00477EE4">
      <w:pPr>
        <w:pStyle w:val="BodyText"/>
        <w:spacing w:before="3"/>
        <w:rPr>
          <w:bCs/>
        </w:rPr>
      </w:pPr>
      <w:r>
        <w:rPr>
          <w:bCs/>
        </w:rPr>
        <w:t>*</w:t>
      </w:r>
      <w:r w:rsidRPr="00477EE4">
        <w:rPr>
          <w:bCs/>
        </w:rPr>
        <w:t xml:space="preserve"> apply and communicate understanding of the importance of diversity and difference in shaping life experiences in practice at the micro, mezzo, and macro levels;</w:t>
      </w:r>
    </w:p>
    <w:p w:rsidR="00477EE4" w:rsidRPr="00477EE4" w:rsidRDefault="00477EE4" w:rsidP="00477EE4">
      <w:pPr>
        <w:pStyle w:val="BodyText"/>
        <w:spacing w:before="3"/>
        <w:rPr>
          <w:bCs/>
        </w:rPr>
      </w:pPr>
      <w:r>
        <w:rPr>
          <w:bCs/>
        </w:rPr>
        <w:t>*</w:t>
      </w:r>
      <w:r w:rsidRPr="00477EE4">
        <w:rPr>
          <w:bCs/>
        </w:rPr>
        <w:t xml:space="preserve"> present themselves as learners and engage clients and constituencies as experts of their own experiences; and</w:t>
      </w:r>
    </w:p>
    <w:p w:rsidR="00477EE4" w:rsidRPr="00477EE4" w:rsidRDefault="00477EE4" w:rsidP="00477EE4">
      <w:pPr>
        <w:pStyle w:val="BodyText"/>
        <w:spacing w:before="3"/>
        <w:rPr>
          <w:bCs/>
        </w:rPr>
      </w:pPr>
      <w:r>
        <w:rPr>
          <w:bCs/>
        </w:rPr>
        <w:t>*</w:t>
      </w:r>
      <w:r w:rsidRPr="00477EE4">
        <w:rPr>
          <w:bCs/>
        </w:rPr>
        <w:t xml:space="preserve"> apply self-awareness and self-regulation to manage the influence of personal biases and values in working with diverse clients and constituencies.</w:t>
      </w:r>
    </w:p>
    <w:p w:rsidR="00477EE4" w:rsidRDefault="00477EE4" w:rsidP="00477EE4">
      <w:pPr>
        <w:pStyle w:val="BodyText"/>
        <w:spacing w:before="3"/>
        <w:rPr>
          <w:bCs/>
        </w:rPr>
      </w:pPr>
    </w:p>
    <w:p w:rsidR="00477EE4" w:rsidRPr="00477EE4" w:rsidRDefault="00477EE4" w:rsidP="00477EE4">
      <w:pPr>
        <w:pStyle w:val="BodyText"/>
        <w:spacing w:before="3"/>
        <w:rPr>
          <w:b/>
          <w:bCs/>
        </w:rPr>
      </w:pPr>
      <w:r w:rsidRPr="00477EE4">
        <w:rPr>
          <w:b/>
          <w:bCs/>
        </w:rPr>
        <w:t>Competency 3: Advance Human Rights and Social, Economic, and Environmental Justice</w:t>
      </w:r>
    </w:p>
    <w:p w:rsidR="00477EE4" w:rsidRPr="00477EE4" w:rsidRDefault="00477EE4" w:rsidP="00477EE4">
      <w:pPr>
        <w:pStyle w:val="BodyText"/>
        <w:spacing w:before="3"/>
        <w:rPr>
          <w:bCs/>
        </w:rPr>
      </w:pPr>
      <w:r w:rsidRPr="00477EE4">
        <w:rPr>
          <w:bCs/>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 Social workers:</w:t>
      </w:r>
    </w:p>
    <w:p w:rsidR="00477EE4" w:rsidRPr="00477EE4" w:rsidRDefault="00477EE4" w:rsidP="00477EE4">
      <w:pPr>
        <w:pStyle w:val="BodyText"/>
        <w:spacing w:before="3"/>
        <w:rPr>
          <w:bCs/>
        </w:rPr>
      </w:pPr>
      <w:r>
        <w:rPr>
          <w:bCs/>
        </w:rPr>
        <w:t>*</w:t>
      </w:r>
      <w:r w:rsidRPr="00477EE4">
        <w:rPr>
          <w:bCs/>
        </w:rPr>
        <w:t xml:space="preserve"> apply their understanding of social, economic, and environmental justice to advocate for human rights at the individual and system levels; and</w:t>
      </w:r>
    </w:p>
    <w:p w:rsidR="00477EE4" w:rsidRPr="00477EE4" w:rsidRDefault="00477EE4" w:rsidP="00477EE4">
      <w:pPr>
        <w:pStyle w:val="BodyText"/>
        <w:spacing w:before="3"/>
        <w:rPr>
          <w:bCs/>
        </w:rPr>
      </w:pPr>
      <w:r>
        <w:rPr>
          <w:bCs/>
        </w:rPr>
        <w:t>*</w:t>
      </w:r>
      <w:r w:rsidRPr="00477EE4">
        <w:rPr>
          <w:bCs/>
        </w:rPr>
        <w:t xml:space="preserve"> engage in practices that advance social, economic, and environmental justice.</w:t>
      </w:r>
    </w:p>
    <w:p w:rsidR="00477EE4" w:rsidRDefault="00477EE4" w:rsidP="00477EE4">
      <w:pPr>
        <w:pStyle w:val="BodyText"/>
        <w:spacing w:before="3"/>
        <w:rPr>
          <w:bCs/>
        </w:rPr>
      </w:pPr>
    </w:p>
    <w:p w:rsidR="00477EE4" w:rsidRPr="00477EE4" w:rsidRDefault="00477EE4" w:rsidP="00477EE4">
      <w:pPr>
        <w:pStyle w:val="BodyText"/>
        <w:spacing w:before="3"/>
        <w:rPr>
          <w:b/>
          <w:bCs/>
        </w:rPr>
      </w:pPr>
      <w:r w:rsidRPr="00477EE4">
        <w:rPr>
          <w:b/>
          <w:bCs/>
        </w:rPr>
        <w:t>Competency 4: Engage In Practice-informed Research and Research-informed Practice</w:t>
      </w:r>
    </w:p>
    <w:p w:rsidR="00477EE4" w:rsidRPr="00477EE4" w:rsidRDefault="00477EE4" w:rsidP="00477EE4">
      <w:pPr>
        <w:pStyle w:val="BodyText"/>
        <w:spacing w:before="3"/>
        <w:rPr>
          <w:bCs/>
        </w:rPr>
      </w:pPr>
      <w:r w:rsidRPr="00477EE4">
        <w:rPr>
          <w:bCs/>
        </w:rPr>
        <w:t xml:space="preserve">Social workers understand quantitative and qualitative research methods and their respective roles in advancing a science of social work and in evaluating their practice. Social workers know </w:t>
      </w:r>
      <w:r w:rsidRPr="00477EE4">
        <w:rPr>
          <w:bCs/>
        </w:rPr>
        <w:lastRenderedPageBreak/>
        <w:t>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Social workers:</w:t>
      </w:r>
    </w:p>
    <w:p w:rsidR="00477EE4" w:rsidRPr="00477EE4" w:rsidRDefault="001151C7" w:rsidP="00477EE4">
      <w:pPr>
        <w:pStyle w:val="BodyText"/>
        <w:spacing w:before="3"/>
        <w:rPr>
          <w:bCs/>
        </w:rPr>
      </w:pPr>
      <w:r>
        <w:rPr>
          <w:bCs/>
        </w:rPr>
        <w:t>*</w:t>
      </w:r>
      <w:r w:rsidR="00477EE4" w:rsidRPr="00477EE4">
        <w:rPr>
          <w:bCs/>
        </w:rPr>
        <w:t xml:space="preserve"> use practice experience and theory to inform scientific inquiry and research;</w:t>
      </w:r>
    </w:p>
    <w:p w:rsidR="00477EE4" w:rsidRPr="00477EE4" w:rsidRDefault="001151C7" w:rsidP="00477EE4">
      <w:pPr>
        <w:pStyle w:val="BodyText"/>
        <w:spacing w:before="3"/>
        <w:rPr>
          <w:bCs/>
        </w:rPr>
      </w:pPr>
      <w:r>
        <w:rPr>
          <w:bCs/>
        </w:rPr>
        <w:t>*</w:t>
      </w:r>
      <w:r w:rsidR="00477EE4" w:rsidRPr="00477EE4">
        <w:rPr>
          <w:bCs/>
        </w:rPr>
        <w:t xml:space="preserve"> apply critical thinking to engage in analysis of quantitative and qualitative research methods and research findings; and</w:t>
      </w:r>
    </w:p>
    <w:p w:rsidR="00477EE4" w:rsidRPr="00477EE4" w:rsidRDefault="001151C7" w:rsidP="00477EE4">
      <w:pPr>
        <w:pStyle w:val="BodyText"/>
        <w:spacing w:before="3"/>
        <w:rPr>
          <w:bCs/>
        </w:rPr>
      </w:pPr>
      <w:r>
        <w:rPr>
          <w:bCs/>
        </w:rPr>
        <w:t>*</w:t>
      </w:r>
      <w:r w:rsidR="00477EE4" w:rsidRPr="00477EE4">
        <w:rPr>
          <w:bCs/>
        </w:rPr>
        <w:t xml:space="preserve"> use and translate research evidence to inform and improve practice, policy, and service delivery.</w:t>
      </w:r>
    </w:p>
    <w:p w:rsidR="001151C7" w:rsidRDefault="001151C7" w:rsidP="00477EE4">
      <w:pPr>
        <w:pStyle w:val="BodyText"/>
        <w:spacing w:before="3"/>
        <w:rPr>
          <w:bCs/>
        </w:rPr>
      </w:pPr>
    </w:p>
    <w:p w:rsidR="00477EE4" w:rsidRPr="001151C7" w:rsidRDefault="00477EE4" w:rsidP="00477EE4">
      <w:pPr>
        <w:pStyle w:val="BodyText"/>
        <w:spacing w:before="3"/>
        <w:rPr>
          <w:b/>
          <w:bCs/>
        </w:rPr>
      </w:pPr>
      <w:r w:rsidRPr="001151C7">
        <w:rPr>
          <w:b/>
          <w:bCs/>
        </w:rPr>
        <w:t>Competency 5: Engage in Policy Practice</w:t>
      </w:r>
    </w:p>
    <w:p w:rsidR="00477EE4" w:rsidRPr="00477EE4" w:rsidRDefault="00477EE4" w:rsidP="00477EE4">
      <w:pPr>
        <w:pStyle w:val="BodyText"/>
        <w:spacing w:before="3"/>
        <w:rPr>
          <w:bCs/>
        </w:rPr>
      </w:pPr>
      <w:r w:rsidRPr="00477EE4">
        <w:rPr>
          <w:bCs/>
        </w:rPr>
        <w:t>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w:t>
      </w:r>
    </w:p>
    <w:p w:rsidR="00477EE4" w:rsidRPr="00477EE4" w:rsidRDefault="001151C7" w:rsidP="00477EE4">
      <w:pPr>
        <w:pStyle w:val="BodyText"/>
        <w:spacing w:before="3"/>
        <w:rPr>
          <w:bCs/>
        </w:rPr>
      </w:pPr>
      <w:r>
        <w:rPr>
          <w:bCs/>
        </w:rPr>
        <w:t>*</w:t>
      </w:r>
      <w:r w:rsidR="00477EE4" w:rsidRPr="00477EE4">
        <w:rPr>
          <w:bCs/>
        </w:rPr>
        <w:t xml:space="preserve"> Identify social policy at the local, state, and federal level that impacts well-being, service delivery, and access to social services;</w:t>
      </w:r>
    </w:p>
    <w:p w:rsidR="00477EE4" w:rsidRPr="00477EE4" w:rsidRDefault="001151C7" w:rsidP="00477EE4">
      <w:pPr>
        <w:pStyle w:val="BodyText"/>
        <w:spacing w:before="3"/>
        <w:rPr>
          <w:bCs/>
        </w:rPr>
      </w:pPr>
      <w:r>
        <w:rPr>
          <w:bCs/>
        </w:rPr>
        <w:t>*</w:t>
      </w:r>
      <w:r w:rsidR="00477EE4" w:rsidRPr="00477EE4">
        <w:rPr>
          <w:bCs/>
        </w:rPr>
        <w:t xml:space="preserve"> assess how social welfare and economic policies impact the delivery of and access to social services;</w:t>
      </w:r>
    </w:p>
    <w:p w:rsidR="00477EE4" w:rsidRPr="00477EE4" w:rsidRDefault="001151C7" w:rsidP="00477EE4">
      <w:pPr>
        <w:pStyle w:val="BodyText"/>
        <w:spacing w:before="3"/>
        <w:rPr>
          <w:bCs/>
        </w:rPr>
      </w:pPr>
      <w:r>
        <w:rPr>
          <w:bCs/>
        </w:rPr>
        <w:t>*</w:t>
      </w:r>
      <w:r w:rsidR="00477EE4" w:rsidRPr="00477EE4">
        <w:rPr>
          <w:bCs/>
        </w:rPr>
        <w:t xml:space="preserve"> apply critical thinking to analyze, formulate, and advocate for policies that advance human rights and social, economic, and environmental justice.</w:t>
      </w:r>
    </w:p>
    <w:p w:rsidR="001151C7" w:rsidRDefault="001151C7" w:rsidP="00477EE4">
      <w:pPr>
        <w:pStyle w:val="BodyText"/>
        <w:spacing w:before="3"/>
        <w:rPr>
          <w:bCs/>
        </w:rPr>
      </w:pPr>
    </w:p>
    <w:p w:rsidR="00477EE4" w:rsidRPr="001151C7" w:rsidRDefault="00477EE4" w:rsidP="00477EE4">
      <w:pPr>
        <w:pStyle w:val="BodyText"/>
        <w:spacing w:before="3"/>
        <w:rPr>
          <w:b/>
          <w:bCs/>
        </w:rPr>
      </w:pPr>
      <w:r w:rsidRPr="001151C7">
        <w:rPr>
          <w:b/>
          <w:bCs/>
        </w:rPr>
        <w:t>Competency 6: Engage with Individuals, Families, Groups, Organizations, and Communities</w:t>
      </w:r>
    </w:p>
    <w:p w:rsidR="00477EE4" w:rsidRPr="00477EE4" w:rsidRDefault="00477EE4" w:rsidP="00477EE4">
      <w:pPr>
        <w:pStyle w:val="BodyText"/>
        <w:spacing w:before="3"/>
        <w:rPr>
          <w:bCs/>
        </w:rPr>
      </w:pPr>
      <w:r w:rsidRPr="00477EE4">
        <w:rPr>
          <w:bCs/>
        </w:rPr>
        <w:t>Social workers understand that engagement is an ongoing component of the dynamic and interactive process of social work practice with, and on behalf of, diverse individuals, families, groups, organizations, and communities. Social worker</w:t>
      </w:r>
      <w:r w:rsidR="001151C7">
        <w:rPr>
          <w:bCs/>
        </w:rPr>
        <w:t>s value the importance of human</w:t>
      </w:r>
    </w:p>
    <w:p w:rsidR="00477EE4" w:rsidRPr="00477EE4" w:rsidRDefault="00477EE4" w:rsidP="00477EE4">
      <w:pPr>
        <w:pStyle w:val="BodyText"/>
        <w:spacing w:before="3"/>
        <w:rPr>
          <w:bCs/>
        </w:rPr>
      </w:pPr>
      <w:r w:rsidRPr="00477EE4">
        <w:rPr>
          <w:bCs/>
        </w:rPr>
        <w:t>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w:t>
      </w:r>
    </w:p>
    <w:p w:rsidR="00477EE4" w:rsidRPr="00477EE4" w:rsidRDefault="001151C7" w:rsidP="00477EE4">
      <w:pPr>
        <w:pStyle w:val="BodyText"/>
        <w:spacing w:before="3"/>
        <w:rPr>
          <w:bCs/>
        </w:rPr>
      </w:pPr>
      <w:r>
        <w:rPr>
          <w:bCs/>
        </w:rPr>
        <w:t>*</w:t>
      </w:r>
      <w:r w:rsidR="00477EE4" w:rsidRPr="00477EE4">
        <w:rPr>
          <w:bCs/>
        </w:rPr>
        <w:t xml:space="preserve"> apply knowledge of human behavior and the social environment, person-in-environment, and other multidisciplinary theoretical frameworks to engage with clients and constituencies; and</w:t>
      </w:r>
    </w:p>
    <w:p w:rsidR="00477EE4" w:rsidRPr="00477EE4" w:rsidRDefault="001151C7" w:rsidP="00477EE4">
      <w:pPr>
        <w:pStyle w:val="BodyText"/>
        <w:spacing w:before="3"/>
        <w:rPr>
          <w:bCs/>
        </w:rPr>
      </w:pPr>
      <w:r>
        <w:rPr>
          <w:bCs/>
        </w:rPr>
        <w:t>*</w:t>
      </w:r>
      <w:r w:rsidR="00477EE4" w:rsidRPr="00477EE4">
        <w:rPr>
          <w:bCs/>
        </w:rPr>
        <w:t xml:space="preserve"> use empathy, reflection, and interpersonal skills to effectively engage diverse clients and </w:t>
      </w:r>
      <w:r w:rsidR="00477EE4" w:rsidRPr="00477EE4">
        <w:rPr>
          <w:bCs/>
        </w:rPr>
        <w:lastRenderedPageBreak/>
        <w:t>constituencies.</w:t>
      </w:r>
    </w:p>
    <w:p w:rsidR="001151C7" w:rsidRDefault="001151C7" w:rsidP="00477EE4">
      <w:pPr>
        <w:pStyle w:val="BodyText"/>
        <w:spacing w:before="3"/>
        <w:rPr>
          <w:bCs/>
        </w:rPr>
      </w:pPr>
    </w:p>
    <w:p w:rsidR="00477EE4" w:rsidRPr="001151C7" w:rsidRDefault="00477EE4" w:rsidP="00477EE4">
      <w:pPr>
        <w:pStyle w:val="BodyText"/>
        <w:spacing w:before="3"/>
        <w:rPr>
          <w:b/>
          <w:bCs/>
        </w:rPr>
      </w:pPr>
      <w:r w:rsidRPr="001151C7">
        <w:rPr>
          <w:b/>
          <w:bCs/>
        </w:rPr>
        <w:t>Competency 7: Assess Individuals, Families, Groups, Organizations, and Communities</w:t>
      </w:r>
    </w:p>
    <w:p w:rsidR="00477EE4" w:rsidRPr="00477EE4" w:rsidRDefault="00477EE4" w:rsidP="00477EE4">
      <w:pPr>
        <w:pStyle w:val="BodyText"/>
        <w:spacing w:before="3"/>
        <w:rPr>
          <w:bCs/>
        </w:rPr>
      </w:pPr>
      <w:r w:rsidRPr="00477EE4">
        <w:rPr>
          <w:bCs/>
        </w:rPr>
        <w:t>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Social workers:</w:t>
      </w:r>
    </w:p>
    <w:p w:rsidR="00477EE4" w:rsidRPr="00477EE4" w:rsidRDefault="001151C7" w:rsidP="00477EE4">
      <w:pPr>
        <w:pStyle w:val="BodyText"/>
        <w:spacing w:before="3"/>
        <w:rPr>
          <w:bCs/>
        </w:rPr>
      </w:pPr>
      <w:r>
        <w:rPr>
          <w:bCs/>
        </w:rPr>
        <w:t>*</w:t>
      </w:r>
      <w:r w:rsidR="00477EE4" w:rsidRPr="00477EE4">
        <w:rPr>
          <w:bCs/>
        </w:rPr>
        <w:t xml:space="preserve"> collect and organize data, and apply critical thinking to interpret information from clients and constituencies;</w:t>
      </w:r>
    </w:p>
    <w:p w:rsidR="00477EE4" w:rsidRPr="00477EE4" w:rsidRDefault="001151C7" w:rsidP="00477EE4">
      <w:pPr>
        <w:pStyle w:val="BodyText"/>
        <w:spacing w:before="3"/>
        <w:rPr>
          <w:bCs/>
        </w:rPr>
      </w:pPr>
      <w:r>
        <w:rPr>
          <w:bCs/>
        </w:rPr>
        <w:t>*</w:t>
      </w:r>
      <w:r w:rsidR="00477EE4" w:rsidRPr="00477EE4">
        <w:rPr>
          <w:bCs/>
        </w:rPr>
        <w:t xml:space="preserve"> apply knowledge of human behavior and the social environment, person-in-environment, and other multidisciplinary theoretical frameworks in the analysis of assessment data from clients and constituencies;</w:t>
      </w:r>
    </w:p>
    <w:p w:rsidR="00477EE4" w:rsidRPr="00477EE4" w:rsidRDefault="001151C7" w:rsidP="00477EE4">
      <w:pPr>
        <w:pStyle w:val="BodyText"/>
        <w:spacing w:before="3"/>
        <w:rPr>
          <w:bCs/>
        </w:rPr>
      </w:pPr>
      <w:r>
        <w:rPr>
          <w:bCs/>
        </w:rPr>
        <w:t>*</w:t>
      </w:r>
      <w:r w:rsidR="00477EE4" w:rsidRPr="00477EE4">
        <w:rPr>
          <w:bCs/>
        </w:rPr>
        <w:t xml:space="preserve"> develop mutually agreed-on intervention goals and objectives based on the critical assessment of strengths, needs, and challenges within clients and constituencies; and</w:t>
      </w:r>
    </w:p>
    <w:p w:rsidR="00477EE4" w:rsidRPr="00477EE4" w:rsidRDefault="001151C7" w:rsidP="00477EE4">
      <w:pPr>
        <w:pStyle w:val="BodyText"/>
        <w:spacing w:before="3"/>
        <w:rPr>
          <w:bCs/>
        </w:rPr>
      </w:pPr>
      <w:r>
        <w:rPr>
          <w:bCs/>
        </w:rPr>
        <w:t>*</w:t>
      </w:r>
      <w:r w:rsidR="00477EE4" w:rsidRPr="00477EE4">
        <w:rPr>
          <w:bCs/>
        </w:rPr>
        <w:t xml:space="preserve"> select appropriate intervention strategies based on the assessment, research knowledge, and values and preferences of clients and constituencies.</w:t>
      </w:r>
    </w:p>
    <w:p w:rsidR="001151C7" w:rsidRDefault="001151C7" w:rsidP="00477EE4">
      <w:pPr>
        <w:pStyle w:val="BodyText"/>
        <w:spacing w:before="3"/>
        <w:rPr>
          <w:bCs/>
        </w:rPr>
      </w:pPr>
    </w:p>
    <w:p w:rsidR="00477EE4" w:rsidRPr="001151C7" w:rsidRDefault="00477EE4" w:rsidP="00477EE4">
      <w:pPr>
        <w:pStyle w:val="BodyText"/>
        <w:spacing w:before="3"/>
        <w:rPr>
          <w:b/>
          <w:bCs/>
        </w:rPr>
      </w:pPr>
      <w:r w:rsidRPr="001151C7">
        <w:rPr>
          <w:b/>
          <w:bCs/>
        </w:rPr>
        <w:t>Competency 8: Intervene with Individuals, Families, Groups, Organizations, and Communities</w:t>
      </w:r>
    </w:p>
    <w:p w:rsidR="00477EE4" w:rsidRPr="00477EE4" w:rsidRDefault="00477EE4" w:rsidP="00477EE4">
      <w:pPr>
        <w:pStyle w:val="BodyText"/>
        <w:spacing w:before="3"/>
        <w:rPr>
          <w:bCs/>
        </w:rPr>
      </w:pPr>
      <w:r w:rsidRPr="00477EE4">
        <w:rPr>
          <w:bCs/>
        </w:rPr>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w:t>
      </w:r>
      <w:r w:rsidR="001151C7">
        <w:rPr>
          <w:bCs/>
        </w:rPr>
        <w:t xml:space="preserve">inter-professional teamwork and </w:t>
      </w:r>
      <w:r w:rsidRPr="00477EE4">
        <w:rPr>
          <w:bCs/>
        </w:rPr>
        <w:t>communication in interventions, recognizing that beneficial outcomes may require interdisciplinary, inter-professional, and inter-organizational collaboration. Social workers:</w:t>
      </w:r>
    </w:p>
    <w:p w:rsidR="00477EE4" w:rsidRPr="00477EE4" w:rsidRDefault="001151C7" w:rsidP="00477EE4">
      <w:pPr>
        <w:pStyle w:val="BodyText"/>
        <w:spacing w:before="3"/>
        <w:rPr>
          <w:bCs/>
        </w:rPr>
      </w:pPr>
      <w:r>
        <w:rPr>
          <w:bCs/>
        </w:rPr>
        <w:t>*</w:t>
      </w:r>
      <w:r w:rsidR="00477EE4" w:rsidRPr="00477EE4">
        <w:rPr>
          <w:bCs/>
        </w:rPr>
        <w:t xml:space="preserve"> critically choose and implement interventions to achieve practice goals and enhance capacities of clients and constituencies;</w:t>
      </w:r>
    </w:p>
    <w:p w:rsidR="00477EE4" w:rsidRPr="00477EE4" w:rsidRDefault="001151C7" w:rsidP="00477EE4">
      <w:pPr>
        <w:pStyle w:val="BodyText"/>
        <w:spacing w:before="3"/>
        <w:rPr>
          <w:bCs/>
        </w:rPr>
      </w:pPr>
      <w:r>
        <w:rPr>
          <w:bCs/>
        </w:rPr>
        <w:t>*</w:t>
      </w:r>
      <w:r w:rsidR="00477EE4" w:rsidRPr="00477EE4">
        <w:rPr>
          <w:bCs/>
        </w:rPr>
        <w:t xml:space="preserve"> apply knowledge of human behavior and the social environment, person-in-environment, and other multidisciplinary theoretical frameworks in interventions with clients and constituencies;</w:t>
      </w:r>
    </w:p>
    <w:p w:rsidR="00477EE4" w:rsidRPr="00477EE4" w:rsidRDefault="001151C7" w:rsidP="00477EE4">
      <w:pPr>
        <w:pStyle w:val="BodyText"/>
        <w:spacing w:before="3"/>
        <w:rPr>
          <w:bCs/>
        </w:rPr>
      </w:pPr>
      <w:r>
        <w:rPr>
          <w:bCs/>
        </w:rPr>
        <w:t>*</w:t>
      </w:r>
      <w:r w:rsidR="00477EE4" w:rsidRPr="00477EE4">
        <w:rPr>
          <w:bCs/>
        </w:rPr>
        <w:t xml:space="preserve"> use inter-professional collaboration as appropriate to achieve beneficial practice outcomes;</w:t>
      </w:r>
    </w:p>
    <w:p w:rsidR="00477EE4" w:rsidRPr="00477EE4" w:rsidRDefault="001151C7" w:rsidP="00477EE4">
      <w:pPr>
        <w:pStyle w:val="BodyText"/>
        <w:spacing w:before="3"/>
        <w:rPr>
          <w:bCs/>
        </w:rPr>
      </w:pPr>
      <w:r>
        <w:rPr>
          <w:bCs/>
        </w:rPr>
        <w:t>*</w:t>
      </w:r>
      <w:r w:rsidR="00477EE4" w:rsidRPr="00477EE4">
        <w:rPr>
          <w:bCs/>
        </w:rPr>
        <w:t xml:space="preserve"> negotiate, mediate, and advocate with and on behalf of diverse clients and constituencies; and</w:t>
      </w:r>
    </w:p>
    <w:p w:rsidR="00477EE4" w:rsidRPr="00477EE4" w:rsidRDefault="001151C7" w:rsidP="00477EE4">
      <w:pPr>
        <w:pStyle w:val="BodyText"/>
        <w:spacing w:before="3"/>
        <w:rPr>
          <w:bCs/>
        </w:rPr>
      </w:pPr>
      <w:r>
        <w:rPr>
          <w:bCs/>
        </w:rPr>
        <w:t>*</w:t>
      </w:r>
      <w:r w:rsidR="00477EE4" w:rsidRPr="00477EE4">
        <w:rPr>
          <w:bCs/>
        </w:rPr>
        <w:t xml:space="preserve"> facilitate effective transitions and endings that advance mutually agreed-on goals.</w:t>
      </w:r>
    </w:p>
    <w:p w:rsidR="001151C7" w:rsidRDefault="001151C7" w:rsidP="00477EE4">
      <w:pPr>
        <w:pStyle w:val="BodyText"/>
        <w:spacing w:before="3"/>
        <w:rPr>
          <w:bCs/>
        </w:rPr>
      </w:pPr>
    </w:p>
    <w:p w:rsidR="00477EE4" w:rsidRPr="001151C7" w:rsidRDefault="00477EE4" w:rsidP="00477EE4">
      <w:pPr>
        <w:pStyle w:val="BodyText"/>
        <w:spacing w:before="3"/>
        <w:rPr>
          <w:b/>
          <w:bCs/>
        </w:rPr>
      </w:pPr>
      <w:r w:rsidRPr="001151C7">
        <w:rPr>
          <w:b/>
          <w:bCs/>
        </w:rPr>
        <w:t>Competency 9: Evaluate Practice with Individuals, Families, Groups, Organizations, and Communities</w:t>
      </w:r>
    </w:p>
    <w:p w:rsidR="00477EE4" w:rsidRPr="00477EE4" w:rsidRDefault="00477EE4" w:rsidP="00477EE4">
      <w:pPr>
        <w:pStyle w:val="BodyText"/>
        <w:spacing w:before="3"/>
        <w:rPr>
          <w:bCs/>
        </w:rPr>
      </w:pPr>
      <w:r w:rsidRPr="00477EE4">
        <w:rPr>
          <w:bCs/>
        </w:rPr>
        <w:t>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w:t>
      </w:r>
    </w:p>
    <w:p w:rsidR="00477EE4" w:rsidRPr="00477EE4" w:rsidRDefault="001151C7" w:rsidP="00477EE4">
      <w:pPr>
        <w:pStyle w:val="BodyText"/>
        <w:spacing w:before="3"/>
        <w:rPr>
          <w:bCs/>
        </w:rPr>
      </w:pPr>
      <w:r>
        <w:rPr>
          <w:bCs/>
        </w:rPr>
        <w:t>*</w:t>
      </w:r>
      <w:r w:rsidR="00477EE4" w:rsidRPr="00477EE4">
        <w:rPr>
          <w:bCs/>
        </w:rPr>
        <w:t xml:space="preserve"> select and use appropriate methods for evaluation of outcomes;</w:t>
      </w:r>
    </w:p>
    <w:p w:rsidR="00477EE4" w:rsidRPr="00477EE4" w:rsidRDefault="001151C7" w:rsidP="00477EE4">
      <w:pPr>
        <w:pStyle w:val="BodyText"/>
        <w:spacing w:before="3"/>
        <w:rPr>
          <w:bCs/>
        </w:rPr>
      </w:pPr>
      <w:r>
        <w:rPr>
          <w:bCs/>
        </w:rPr>
        <w:t>*</w:t>
      </w:r>
      <w:r w:rsidR="00477EE4" w:rsidRPr="00477EE4">
        <w:rPr>
          <w:bCs/>
        </w:rPr>
        <w:t xml:space="preserve"> apply knowledge of human behavior and the social environment, person-in-environment, and other multidisciplinary theoretical frameworks in the evaluation of outcomes;</w:t>
      </w:r>
    </w:p>
    <w:p w:rsidR="00477EE4" w:rsidRPr="00477EE4" w:rsidRDefault="001151C7" w:rsidP="00477EE4">
      <w:pPr>
        <w:pStyle w:val="BodyText"/>
        <w:spacing w:before="3"/>
        <w:rPr>
          <w:bCs/>
        </w:rPr>
      </w:pPr>
      <w:r>
        <w:rPr>
          <w:bCs/>
        </w:rPr>
        <w:t>*</w:t>
      </w:r>
      <w:r w:rsidR="00477EE4" w:rsidRPr="00477EE4">
        <w:rPr>
          <w:bCs/>
        </w:rPr>
        <w:t xml:space="preserve"> critically analyze, monitor, and evaluate intervention and program processes and outcomes; and</w:t>
      </w:r>
    </w:p>
    <w:p w:rsidR="006C64EB" w:rsidRPr="00477EE4" w:rsidRDefault="001151C7" w:rsidP="00477EE4">
      <w:pPr>
        <w:pStyle w:val="BodyText"/>
        <w:spacing w:before="3"/>
        <w:rPr>
          <w:bCs/>
        </w:rPr>
      </w:pPr>
      <w:r>
        <w:rPr>
          <w:bCs/>
        </w:rPr>
        <w:t>*</w:t>
      </w:r>
      <w:r w:rsidR="00477EE4" w:rsidRPr="00477EE4">
        <w:rPr>
          <w:bCs/>
        </w:rPr>
        <w:t xml:space="preserve"> apply evaluation findings to improve practice effectiveness at the micro, mezzo, and macro levels.</w:t>
      </w:r>
    </w:p>
    <w:p w:rsidR="00477EE4" w:rsidRDefault="00477EE4" w:rsidP="00477EE4">
      <w:pPr>
        <w:pStyle w:val="BodyText"/>
        <w:spacing w:before="3"/>
      </w:pPr>
    </w:p>
    <w:p w:rsidR="006C64EB" w:rsidRDefault="006613EA">
      <w:pPr>
        <w:pStyle w:val="Heading2"/>
        <w:spacing w:line="292" w:lineRule="exact"/>
      </w:pPr>
      <w:r>
        <w:t>The University of Akron Learning Outcomes</w:t>
      </w:r>
    </w:p>
    <w:p w:rsidR="006C64EB" w:rsidRDefault="006613EA">
      <w:pPr>
        <w:ind w:left="119" w:right="115"/>
        <w:jc w:val="both"/>
      </w:pPr>
      <w:r>
        <w:t>The University of Akron has developed four essential learning outcomes for students enrolled in undergraduate programs. These outcomes are broadly defined to reflect the wide range of academic disciplines across campus. As a professional program, the School of Social Work BA/BASW program has developed a comprehensive and holistic approach to competency-based social work education. Therefore,</w:t>
      </w:r>
      <w:r>
        <w:rPr>
          <w:spacing w:val="-9"/>
        </w:rPr>
        <w:t xml:space="preserve"> </w:t>
      </w:r>
      <w:r>
        <w:t>the</w:t>
      </w:r>
      <w:r>
        <w:rPr>
          <w:spacing w:val="-8"/>
        </w:rPr>
        <w:t xml:space="preserve"> </w:t>
      </w:r>
      <w:r>
        <w:t>four</w:t>
      </w:r>
      <w:r>
        <w:rPr>
          <w:spacing w:val="-9"/>
        </w:rPr>
        <w:t xml:space="preserve"> </w:t>
      </w:r>
      <w:r>
        <w:t>major</w:t>
      </w:r>
      <w:r>
        <w:rPr>
          <w:spacing w:val="-9"/>
        </w:rPr>
        <w:t xml:space="preserve"> </w:t>
      </w:r>
      <w:r>
        <w:t>learning</w:t>
      </w:r>
      <w:r>
        <w:rPr>
          <w:spacing w:val="-10"/>
        </w:rPr>
        <w:t xml:space="preserve"> </w:t>
      </w:r>
      <w:r>
        <w:t>outcomes</w:t>
      </w:r>
      <w:r>
        <w:rPr>
          <w:spacing w:val="-9"/>
        </w:rPr>
        <w:t xml:space="preserve"> </w:t>
      </w:r>
      <w:r>
        <w:t>listed</w:t>
      </w:r>
      <w:r>
        <w:rPr>
          <w:spacing w:val="-10"/>
        </w:rPr>
        <w:t xml:space="preserve"> </w:t>
      </w:r>
      <w:r>
        <w:t>below</w:t>
      </w:r>
      <w:r>
        <w:rPr>
          <w:spacing w:val="-8"/>
        </w:rPr>
        <w:t xml:space="preserve"> </w:t>
      </w:r>
      <w:r>
        <w:t>are</w:t>
      </w:r>
      <w:r>
        <w:rPr>
          <w:spacing w:val="-9"/>
        </w:rPr>
        <w:t xml:space="preserve"> </w:t>
      </w:r>
      <w:r>
        <w:t>already</w:t>
      </w:r>
      <w:r>
        <w:rPr>
          <w:spacing w:val="-8"/>
        </w:rPr>
        <w:t xml:space="preserve"> </w:t>
      </w:r>
      <w:r>
        <w:t>included</w:t>
      </w:r>
      <w:r>
        <w:rPr>
          <w:spacing w:val="-10"/>
        </w:rPr>
        <w:t xml:space="preserve"> </w:t>
      </w:r>
      <w:r>
        <w:t>in</w:t>
      </w:r>
      <w:r>
        <w:rPr>
          <w:spacing w:val="-10"/>
        </w:rPr>
        <w:t xml:space="preserve"> </w:t>
      </w:r>
      <w:r>
        <w:t>the</w:t>
      </w:r>
      <w:r>
        <w:rPr>
          <w:spacing w:val="-8"/>
        </w:rPr>
        <w:t xml:space="preserve"> </w:t>
      </w:r>
      <w:r>
        <w:t>competencies</w:t>
      </w:r>
      <w:r>
        <w:rPr>
          <w:spacing w:val="-11"/>
        </w:rPr>
        <w:t xml:space="preserve"> </w:t>
      </w:r>
      <w:r>
        <w:t>of</w:t>
      </w:r>
      <w:r>
        <w:rPr>
          <w:spacing w:val="-9"/>
        </w:rPr>
        <w:t xml:space="preserve"> </w:t>
      </w:r>
      <w:r>
        <w:t>the BA/BASW program. The specific social work competencies and practice behaviors that address The University of Akron’s learning outcomes are listed</w:t>
      </w:r>
      <w:r>
        <w:rPr>
          <w:spacing w:val="-4"/>
        </w:rPr>
        <w:t xml:space="preserve"> </w:t>
      </w:r>
      <w:r>
        <w:t>below.</w:t>
      </w:r>
    </w:p>
    <w:p w:rsidR="006C64EB" w:rsidRDefault="006C64EB">
      <w:pPr>
        <w:pStyle w:val="BodyText"/>
        <w:spacing w:before="10"/>
        <w:rPr>
          <w:sz w:val="21"/>
        </w:rPr>
      </w:pPr>
    </w:p>
    <w:p w:rsidR="006C64EB" w:rsidRDefault="006613EA">
      <w:pPr>
        <w:ind w:left="120"/>
      </w:pPr>
      <w:r>
        <w:rPr>
          <w:b/>
        </w:rPr>
        <w:t xml:space="preserve">UA Learning Outcome 1: Communication Skills and Information Literacy </w:t>
      </w:r>
      <w:r>
        <w:t>- Students will demonstrate foundational competency in written communication, oral communication and information literacy.</w:t>
      </w:r>
    </w:p>
    <w:p w:rsidR="006C64EB" w:rsidRDefault="006613EA">
      <w:pPr>
        <w:ind w:left="120"/>
        <w:rPr>
          <w:b/>
        </w:rPr>
      </w:pPr>
      <w:r>
        <w:rPr>
          <w:i/>
        </w:rPr>
        <w:t>Social Work Educational Policy 2.1.1</w:t>
      </w:r>
      <w:r>
        <w:t>—Identify as a professional social worker and conduct oneself accordingly</w:t>
      </w:r>
      <w:r>
        <w:rPr>
          <w:b/>
        </w:rPr>
        <w:t>.</w:t>
      </w:r>
    </w:p>
    <w:p w:rsidR="006C64EB" w:rsidRDefault="006613EA">
      <w:pPr>
        <w:pStyle w:val="ListParagraph"/>
        <w:numPr>
          <w:ilvl w:val="0"/>
          <w:numId w:val="1"/>
        </w:numPr>
        <w:tabs>
          <w:tab w:val="left" w:pos="281"/>
        </w:tabs>
        <w:spacing w:before="3"/>
        <w:ind w:left="280" w:hanging="160"/>
      </w:pPr>
      <w:r>
        <w:t>demonstrate professional demeanor in behavior, appearance, and</w:t>
      </w:r>
      <w:r>
        <w:rPr>
          <w:spacing w:val="-12"/>
        </w:rPr>
        <w:t xml:space="preserve"> </w:t>
      </w:r>
      <w:r>
        <w:t>communication;</w:t>
      </w:r>
    </w:p>
    <w:p w:rsidR="006C64EB" w:rsidRDefault="006613EA">
      <w:pPr>
        <w:spacing w:before="72"/>
        <w:ind w:left="120"/>
      </w:pPr>
      <w:r>
        <w:rPr>
          <w:i/>
        </w:rPr>
        <w:t>Social Work Educational Policy 2.1.3</w:t>
      </w:r>
      <w:r>
        <w:t>—Apply critical thinking to inform and communicate professional judgments.</w:t>
      </w:r>
    </w:p>
    <w:p w:rsidR="006C64EB" w:rsidRDefault="006613EA">
      <w:pPr>
        <w:pStyle w:val="ListParagraph"/>
        <w:numPr>
          <w:ilvl w:val="0"/>
          <w:numId w:val="1"/>
        </w:numPr>
        <w:tabs>
          <w:tab w:val="left" w:pos="303"/>
        </w:tabs>
        <w:spacing w:before="57"/>
        <w:ind w:right="116" w:firstLine="0"/>
      </w:pPr>
      <w:r>
        <w:t>demonstrate effective oral and written communication in working with individuals, families, groups, organizations, communities, and</w:t>
      </w:r>
      <w:r>
        <w:rPr>
          <w:spacing w:val="-4"/>
        </w:rPr>
        <w:t xml:space="preserve"> </w:t>
      </w:r>
      <w:r>
        <w:t>colleagues.</w:t>
      </w:r>
    </w:p>
    <w:p w:rsidR="006C64EB" w:rsidRDefault="006C64EB">
      <w:pPr>
        <w:pStyle w:val="BodyText"/>
        <w:rPr>
          <w:sz w:val="22"/>
        </w:rPr>
      </w:pPr>
    </w:p>
    <w:p w:rsidR="006C64EB" w:rsidRDefault="006613EA">
      <w:pPr>
        <w:ind w:left="119" w:right="116"/>
        <w:jc w:val="both"/>
      </w:pPr>
      <w:r>
        <w:rPr>
          <w:b/>
        </w:rPr>
        <w:t xml:space="preserve">UA Learning Outcome 2: Critical Thinking and Complex Reasoning Skills </w:t>
      </w:r>
      <w:r>
        <w:t>- Students will demonstrate foundational competency in creating and evaluating reasoned arguments, and employing quantitative, qualitative, and normative information in such arguments.</w:t>
      </w:r>
    </w:p>
    <w:p w:rsidR="006C64EB" w:rsidRDefault="006613EA">
      <w:pPr>
        <w:ind w:left="119"/>
      </w:pPr>
      <w:r>
        <w:rPr>
          <w:i/>
        </w:rPr>
        <w:t>Social Work Educational Policy 2.1.3</w:t>
      </w:r>
      <w:r>
        <w:t>—Apply critical thinking to inform and communicate professional judgments.</w:t>
      </w:r>
    </w:p>
    <w:p w:rsidR="006C64EB" w:rsidRDefault="006613EA">
      <w:pPr>
        <w:pStyle w:val="ListParagraph"/>
        <w:numPr>
          <w:ilvl w:val="0"/>
          <w:numId w:val="1"/>
        </w:numPr>
        <w:tabs>
          <w:tab w:val="left" w:pos="375"/>
        </w:tabs>
        <w:spacing w:line="242" w:lineRule="auto"/>
        <w:ind w:right="114" w:firstLine="0"/>
      </w:pPr>
      <w:r>
        <w:t>distinguish, appraise, and integrate multiple sources of knowledge, including research-based knowledge, and practice</w:t>
      </w:r>
      <w:r>
        <w:rPr>
          <w:spacing w:val="-4"/>
        </w:rPr>
        <w:t xml:space="preserve"> </w:t>
      </w:r>
      <w:r>
        <w:t>wisdom;</w:t>
      </w:r>
    </w:p>
    <w:p w:rsidR="006C64EB" w:rsidRDefault="006613EA">
      <w:pPr>
        <w:spacing w:before="66"/>
        <w:ind w:left="119"/>
      </w:pPr>
      <w:r>
        <w:rPr>
          <w:i/>
        </w:rPr>
        <w:lastRenderedPageBreak/>
        <w:t>Social Work Educational Policy 2.1.6</w:t>
      </w:r>
      <w:r>
        <w:t>—Engage in research-informed practice and practice-informed research.</w:t>
      </w:r>
    </w:p>
    <w:p w:rsidR="006C64EB" w:rsidRDefault="006613EA">
      <w:pPr>
        <w:pStyle w:val="ListParagraph"/>
        <w:numPr>
          <w:ilvl w:val="0"/>
          <w:numId w:val="1"/>
        </w:numPr>
        <w:tabs>
          <w:tab w:val="left" w:pos="281"/>
        </w:tabs>
        <w:spacing w:before="3"/>
        <w:ind w:left="280" w:hanging="160"/>
      </w:pPr>
      <w:r>
        <w:t>use practice experience to inform scientific inquiry</w:t>
      </w:r>
      <w:r>
        <w:rPr>
          <w:spacing w:val="-4"/>
        </w:rPr>
        <w:t xml:space="preserve"> </w:t>
      </w:r>
      <w:r>
        <w:t>and</w:t>
      </w:r>
    </w:p>
    <w:p w:rsidR="006C64EB" w:rsidRDefault="006613EA">
      <w:pPr>
        <w:pStyle w:val="ListParagraph"/>
        <w:numPr>
          <w:ilvl w:val="0"/>
          <w:numId w:val="1"/>
        </w:numPr>
        <w:tabs>
          <w:tab w:val="left" w:pos="281"/>
        </w:tabs>
        <w:spacing w:before="72"/>
        <w:ind w:left="280" w:hanging="160"/>
      </w:pPr>
      <w:r>
        <w:t>use research evidence to inform</w:t>
      </w:r>
      <w:r>
        <w:rPr>
          <w:spacing w:val="-5"/>
        </w:rPr>
        <w:t xml:space="preserve"> </w:t>
      </w:r>
      <w:r>
        <w:t>practice</w:t>
      </w:r>
    </w:p>
    <w:p w:rsidR="006C64EB" w:rsidRDefault="006C64EB">
      <w:pPr>
        <w:pStyle w:val="BodyText"/>
        <w:spacing w:before="10"/>
        <w:rPr>
          <w:sz w:val="21"/>
        </w:rPr>
      </w:pPr>
    </w:p>
    <w:p w:rsidR="006C64EB" w:rsidRDefault="006613EA">
      <w:pPr>
        <w:ind w:left="120" w:right="115" w:hanging="1"/>
        <w:jc w:val="both"/>
      </w:pPr>
      <w:r>
        <w:rPr>
          <w:b/>
        </w:rPr>
        <w:t xml:space="preserve">UA Learning Outcome 3: The Arts, Humanities, Natural Sciences, and Social Sciences </w:t>
      </w:r>
      <w:r>
        <w:t>- Students will demonstrate foundational competency in knowledge of representative content and methods of inquiry of the arts, humanities, natural sciences, and social sciences.</w:t>
      </w:r>
    </w:p>
    <w:p w:rsidR="006C64EB" w:rsidRDefault="006613EA">
      <w:pPr>
        <w:spacing w:before="1"/>
        <w:ind w:left="120"/>
      </w:pPr>
      <w:r>
        <w:rPr>
          <w:i/>
        </w:rPr>
        <w:t>Social Work Educational Policy 2.1.7</w:t>
      </w:r>
      <w:r>
        <w:t>—Apply knowledge of human behavior and the social environment.</w:t>
      </w:r>
    </w:p>
    <w:p w:rsidR="006C64EB" w:rsidRDefault="006613EA">
      <w:pPr>
        <w:pStyle w:val="ListParagraph"/>
        <w:numPr>
          <w:ilvl w:val="0"/>
          <w:numId w:val="1"/>
        </w:numPr>
        <w:tabs>
          <w:tab w:val="left" w:pos="281"/>
        </w:tabs>
        <w:spacing w:before="2"/>
        <w:ind w:left="280" w:hanging="160"/>
      </w:pPr>
      <w:r>
        <w:t>utilize conceptual frameworks to guide the processes of assessment, intervention, and evaluation;</w:t>
      </w:r>
      <w:r>
        <w:rPr>
          <w:spacing w:val="-29"/>
        </w:rPr>
        <w:t xml:space="preserve"> </w:t>
      </w:r>
      <w:r>
        <w:t>and</w:t>
      </w:r>
    </w:p>
    <w:p w:rsidR="006C64EB" w:rsidRDefault="006613EA">
      <w:pPr>
        <w:pStyle w:val="ListParagraph"/>
        <w:numPr>
          <w:ilvl w:val="0"/>
          <w:numId w:val="1"/>
        </w:numPr>
        <w:tabs>
          <w:tab w:val="left" w:pos="281"/>
        </w:tabs>
        <w:spacing w:before="70"/>
        <w:ind w:left="280" w:hanging="160"/>
      </w:pPr>
      <w:r>
        <w:t>critique and apply knowledge to understand person and</w:t>
      </w:r>
      <w:r>
        <w:rPr>
          <w:spacing w:val="-8"/>
        </w:rPr>
        <w:t xml:space="preserve"> </w:t>
      </w:r>
      <w:r>
        <w:t>environment.</w:t>
      </w:r>
    </w:p>
    <w:p w:rsidR="006C64EB" w:rsidRDefault="006C64EB">
      <w:pPr>
        <w:pStyle w:val="BodyText"/>
        <w:rPr>
          <w:sz w:val="22"/>
        </w:rPr>
      </w:pPr>
    </w:p>
    <w:p w:rsidR="006C64EB" w:rsidRDefault="006613EA">
      <w:pPr>
        <w:ind w:left="119" w:right="115"/>
        <w:jc w:val="both"/>
      </w:pPr>
      <w:r>
        <w:rPr>
          <w:b/>
        </w:rPr>
        <w:t xml:space="preserve">Learning Outcome 4: Responsible Citizenship in an Interconnected World </w:t>
      </w:r>
      <w:r>
        <w:t>- Students will demonstrate foundational competency in knowledge and skills that promote personal, social and environmental responsibility. This foundational competency shall include an understanding of diversity, systemic relationships, and collateral effects and consequences within and across systems.</w:t>
      </w:r>
    </w:p>
    <w:p w:rsidR="006C64EB" w:rsidRDefault="006613EA">
      <w:pPr>
        <w:spacing w:before="1"/>
        <w:ind w:left="119"/>
      </w:pPr>
      <w:r>
        <w:rPr>
          <w:i/>
        </w:rPr>
        <w:t>Social Work Educational Policy 2.1.2</w:t>
      </w:r>
      <w:r>
        <w:t>—Apply social work ethical principles to guide professional practice.</w:t>
      </w:r>
    </w:p>
    <w:p w:rsidR="006C64EB" w:rsidRDefault="006613EA">
      <w:pPr>
        <w:pStyle w:val="ListParagraph"/>
        <w:numPr>
          <w:ilvl w:val="0"/>
          <w:numId w:val="1"/>
        </w:numPr>
        <w:tabs>
          <w:tab w:val="left" w:pos="267"/>
        </w:tabs>
        <w:ind w:left="266" w:hanging="147"/>
      </w:pPr>
      <w:r>
        <w:t>make</w:t>
      </w:r>
      <w:r>
        <w:rPr>
          <w:spacing w:val="-16"/>
        </w:rPr>
        <w:t xml:space="preserve"> </w:t>
      </w:r>
      <w:r>
        <w:t>ethical</w:t>
      </w:r>
      <w:r>
        <w:rPr>
          <w:spacing w:val="-14"/>
        </w:rPr>
        <w:t xml:space="preserve"> </w:t>
      </w:r>
      <w:r>
        <w:t>decisions</w:t>
      </w:r>
      <w:r>
        <w:rPr>
          <w:spacing w:val="-14"/>
        </w:rPr>
        <w:t xml:space="preserve"> </w:t>
      </w:r>
      <w:r>
        <w:t>by</w:t>
      </w:r>
      <w:r>
        <w:rPr>
          <w:spacing w:val="-15"/>
        </w:rPr>
        <w:t xml:space="preserve"> </w:t>
      </w:r>
      <w:r>
        <w:t>applying</w:t>
      </w:r>
      <w:r>
        <w:rPr>
          <w:spacing w:val="-15"/>
        </w:rPr>
        <w:t xml:space="preserve"> </w:t>
      </w:r>
      <w:r>
        <w:t>standards</w:t>
      </w:r>
      <w:r>
        <w:rPr>
          <w:spacing w:val="-16"/>
        </w:rPr>
        <w:t xml:space="preserve"> </w:t>
      </w:r>
      <w:r>
        <w:t>of</w:t>
      </w:r>
      <w:r>
        <w:rPr>
          <w:spacing w:val="-14"/>
        </w:rPr>
        <w:t xml:space="preserve"> </w:t>
      </w:r>
      <w:r>
        <w:t>the</w:t>
      </w:r>
      <w:r>
        <w:rPr>
          <w:spacing w:val="-13"/>
        </w:rPr>
        <w:t xml:space="preserve"> </w:t>
      </w:r>
      <w:r>
        <w:t>National</w:t>
      </w:r>
      <w:r>
        <w:rPr>
          <w:spacing w:val="-14"/>
        </w:rPr>
        <w:t xml:space="preserve"> </w:t>
      </w:r>
      <w:r>
        <w:t>Association</w:t>
      </w:r>
      <w:r>
        <w:rPr>
          <w:spacing w:val="-17"/>
        </w:rPr>
        <w:t xml:space="preserve"> </w:t>
      </w:r>
      <w:r>
        <w:t>of</w:t>
      </w:r>
      <w:r>
        <w:rPr>
          <w:spacing w:val="-16"/>
        </w:rPr>
        <w:t xml:space="preserve"> </w:t>
      </w:r>
      <w:r>
        <w:t>Social</w:t>
      </w:r>
      <w:r>
        <w:rPr>
          <w:spacing w:val="-17"/>
        </w:rPr>
        <w:t xml:space="preserve"> </w:t>
      </w:r>
      <w:r>
        <w:t>Workers</w:t>
      </w:r>
      <w:r>
        <w:rPr>
          <w:spacing w:val="-16"/>
        </w:rPr>
        <w:t xml:space="preserve"> </w:t>
      </w:r>
      <w:r>
        <w:t>Code</w:t>
      </w:r>
      <w:r>
        <w:rPr>
          <w:spacing w:val="-14"/>
        </w:rPr>
        <w:t xml:space="preserve"> </w:t>
      </w:r>
      <w:r>
        <w:t>of</w:t>
      </w:r>
      <w:r>
        <w:rPr>
          <w:spacing w:val="-17"/>
        </w:rPr>
        <w:t xml:space="preserve"> </w:t>
      </w:r>
      <w:r>
        <w:t>Ethics</w:t>
      </w:r>
    </w:p>
    <w:p w:rsidR="006C64EB" w:rsidRDefault="006613EA">
      <w:pPr>
        <w:spacing w:before="72"/>
        <w:ind w:left="119"/>
      </w:pPr>
      <w:r>
        <w:rPr>
          <w:i/>
        </w:rPr>
        <w:t>Social Work Educational Policy 2.1.4</w:t>
      </w:r>
      <w:r>
        <w:t>—Engage diversity and difference in practice.</w:t>
      </w:r>
    </w:p>
    <w:p w:rsidR="006C64EB" w:rsidRDefault="006613EA">
      <w:pPr>
        <w:pStyle w:val="ListParagraph"/>
        <w:numPr>
          <w:ilvl w:val="0"/>
          <w:numId w:val="1"/>
        </w:numPr>
        <w:tabs>
          <w:tab w:val="left" w:pos="336"/>
        </w:tabs>
        <w:spacing w:before="1" w:line="242" w:lineRule="auto"/>
        <w:ind w:left="119" w:right="118" w:firstLine="0"/>
      </w:pPr>
      <w:r>
        <w:t>recognize and communicate their understanding of the importance of difference in shaping life experiences</w:t>
      </w:r>
    </w:p>
    <w:p w:rsidR="006C64EB" w:rsidRDefault="006613EA">
      <w:pPr>
        <w:spacing w:before="67"/>
        <w:ind w:left="119"/>
      </w:pPr>
      <w:r>
        <w:rPr>
          <w:i/>
        </w:rPr>
        <w:t>Social Work Educational Policy 2.1.5</w:t>
      </w:r>
      <w:r>
        <w:t>—Advance human rights and social and economic justice.</w:t>
      </w:r>
    </w:p>
    <w:p w:rsidR="006C64EB" w:rsidRDefault="006613EA">
      <w:pPr>
        <w:pStyle w:val="ListParagraph"/>
        <w:numPr>
          <w:ilvl w:val="0"/>
          <w:numId w:val="1"/>
        </w:numPr>
        <w:tabs>
          <w:tab w:val="left" w:pos="281"/>
        </w:tabs>
        <w:ind w:left="280"/>
      </w:pPr>
      <w:r>
        <w:t>engage in practices that advance social and economic</w:t>
      </w:r>
      <w:r>
        <w:rPr>
          <w:spacing w:val="-7"/>
        </w:rPr>
        <w:t xml:space="preserve"> </w:t>
      </w:r>
      <w:r>
        <w:t>justice</w:t>
      </w:r>
    </w:p>
    <w:p w:rsidR="006C64EB" w:rsidRDefault="006613EA">
      <w:pPr>
        <w:ind w:left="119"/>
      </w:pPr>
      <w:r>
        <w:rPr>
          <w:i/>
        </w:rPr>
        <w:t>Social</w:t>
      </w:r>
      <w:r>
        <w:rPr>
          <w:i/>
          <w:spacing w:val="-13"/>
        </w:rPr>
        <w:t xml:space="preserve"> </w:t>
      </w:r>
      <w:r>
        <w:rPr>
          <w:i/>
        </w:rPr>
        <w:t>Work</w:t>
      </w:r>
      <w:r>
        <w:rPr>
          <w:i/>
          <w:spacing w:val="-12"/>
        </w:rPr>
        <w:t xml:space="preserve"> </w:t>
      </w:r>
      <w:r>
        <w:rPr>
          <w:i/>
        </w:rPr>
        <w:t>Educational</w:t>
      </w:r>
      <w:r>
        <w:rPr>
          <w:i/>
          <w:spacing w:val="-15"/>
        </w:rPr>
        <w:t xml:space="preserve"> </w:t>
      </w:r>
      <w:r>
        <w:rPr>
          <w:i/>
        </w:rPr>
        <w:t>Policy</w:t>
      </w:r>
      <w:r>
        <w:rPr>
          <w:i/>
          <w:spacing w:val="-13"/>
        </w:rPr>
        <w:t xml:space="preserve"> </w:t>
      </w:r>
      <w:r>
        <w:rPr>
          <w:i/>
        </w:rPr>
        <w:t>2.1.8</w:t>
      </w:r>
      <w:r>
        <w:t>—Engage</w:t>
      </w:r>
      <w:r>
        <w:rPr>
          <w:spacing w:val="-12"/>
        </w:rPr>
        <w:t xml:space="preserve"> </w:t>
      </w:r>
      <w:r>
        <w:t>in</w:t>
      </w:r>
      <w:r>
        <w:rPr>
          <w:spacing w:val="-13"/>
        </w:rPr>
        <w:t xml:space="preserve"> </w:t>
      </w:r>
      <w:r>
        <w:t>policy</w:t>
      </w:r>
      <w:r>
        <w:rPr>
          <w:spacing w:val="-16"/>
        </w:rPr>
        <w:t xml:space="preserve"> </w:t>
      </w:r>
      <w:r>
        <w:t>practice</w:t>
      </w:r>
      <w:r>
        <w:rPr>
          <w:spacing w:val="-14"/>
        </w:rPr>
        <w:t xml:space="preserve"> </w:t>
      </w:r>
      <w:r>
        <w:t>to</w:t>
      </w:r>
      <w:r>
        <w:rPr>
          <w:spacing w:val="-14"/>
        </w:rPr>
        <w:t xml:space="preserve"> </w:t>
      </w:r>
      <w:r>
        <w:t>advance</w:t>
      </w:r>
      <w:r>
        <w:rPr>
          <w:spacing w:val="-12"/>
        </w:rPr>
        <w:t xml:space="preserve"> </w:t>
      </w:r>
      <w:r>
        <w:t>social</w:t>
      </w:r>
      <w:r>
        <w:rPr>
          <w:spacing w:val="-15"/>
        </w:rPr>
        <w:t xml:space="preserve"> </w:t>
      </w:r>
      <w:r>
        <w:t>and</w:t>
      </w:r>
      <w:r>
        <w:rPr>
          <w:spacing w:val="-13"/>
        </w:rPr>
        <w:t xml:space="preserve"> </w:t>
      </w:r>
      <w:r>
        <w:t>economic</w:t>
      </w:r>
      <w:r>
        <w:rPr>
          <w:spacing w:val="-15"/>
        </w:rPr>
        <w:t xml:space="preserve"> </w:t>
      </w:r>
      <w:r>
        <w:t>well-being and to deliver effective social work</w:t>
      </w:r>
      <w:r>
        <w:rPr>
          <w:spacing w:val="-1"/>
        </w:rPr>
        <w:t xml:space="preserve"> </w:t>
      </w:r>
      <w:r>
        <w:t>services.</w:t>
      </w:r>
    </w:p>
    <w:p w:rsidR="006C64EB" w:rsidRDefault="006613EA">
      <w:pPr>
        <w:pStyle w:val="ListParagraph"/>
        <w:numPr>
          <w:ilvl w:val="0"/>
          <w:numId w:val="1"/>
        </w:numPr>
        <w:tabs>
          <w:tab w:val="left" w:pos="281"/>
        </w:tabs>
        <w:spacing w:before="3"/>
        <w:ind w:left="280"/>
      </w:pPr>
      <w:r>
        <w:t>analyze, formulate, and advocate for policies that advance social</w:t>
      </w:r>
      <w:r>
        <w:rPr>
          <w:spacing w:val="-29"/>
        </w:rPr>
        <w:t xml:space="preserve"> </w:t>
      </w:r>
      <w:r>
        <w:t>well-being</w:t>
      </w:r>
    </w:p>
    <w:p w:rsidR="006C64EB" w:rsidRDefault="006613EA">
      <w:pPr>
        <w:spacing w:before="72"/>
        <w:ind w:left="119"/>
      </w:pPr>
      <w:r>
        <w:rPr>
          <w:i/>
        </w:rPr>
        <w:t>Social Work Educational Policy 2.1.9</w:t>
      </w:r>
      <w:r>
        <w:t>—Respond to contexts that shape practice.</w:t>
      </w:r>
    </w:p>
    <w:p w:rsidR="006C64EB" w:rsidRDefault="006613EA">
      <w:pPr>
        <w:pStyle w:val="ListParagraph"/>
        <w:numPr>
          <w:ilvl w:val="0"/>
          <w:numId w:val="1"/>
        </w:numPr>
        <w:tabs>
          <w:tab w:val="left" w:pos="269"/>
        </w:tabs>
        <w:ind w:left="119" w:right="118" w:firstLine="0"/>
      </w:pPr>
      <w:r>
        <w:t>continuously</w:t>
      </w:r>
      <w:r>
        <w:rPr>
          <w:spacing w:val="-15"/>
        </w:rPr>
        <w:t xml:space="preserve"> </w:t>
      </w:r>
      <w:r>
        <w:t>discover,</w:t>
      </w:r>
      <w:r>
        <w:rPr>
          <w:spacing w:val="-16"/>
        </w:rPr>
        <w:t xml:space="preserve"> </w:t>
      </w:r>
      <w:r>
        <w:t>appraise,</w:t>
      </w:r>
      <w:r>
        <w:rPr>
          <w:spacing w:val="-16"/>
        </w:rPr>
        <w:t xml:space="preserve"> </w:t>
      </w:r>
      <w:r>
        <w:t>and</w:t>
      </w:r>
      <w:r>
        <w:rPr>
          <w:spacing w:val="-17"/>
        </w:rPr>
        <w:t xml:space="preserve"> </w:t>
      </w:r>
      <w:r>
        <w:t>attend</w:t>
      </w:r>
      <w:r>
        <w:rPr>
          <w:spacing w:val="-17"/>
        </w:rPr>
        <w:t xml:space="preserve"> </w:t>
      </w:r>
      <w:r>
        <w:t>to</w:t>
      </w:r>
      <w:r>
        <w:rPr>
          <w:spacing w:val="-15"/>
        </w:rPr>
        <w:t xml:space="preserve"> </w:t>
      </w:r>
      <w:r>
        <w:t>changing</w:t>
      </w:r>
      <w:r>
        <w:rPr>
          <w:spacing w:val="-17"/>
        </w:rPr>
        <w:t xml:space="preserve"> </w:t>
      </w:r>
      <w:r>
        <w:t>locales,</w:t>
      </w:r>
      <w:r>
        <w:rPr>
          <w:spacing w:val="-16"/>
        </w:rPr>
        <w:t xml:space="preserve"> </w:t>
      </w:r>
      <w:r>
        <w:t>populations,</w:t>
      </w:r>
      <w:r>
        <w:rPr>
          <w:spacing w:val="-16"/>
        </w:rPr>
        <w:t xml:space="preserve"> </w:t>
      </w:r>
      <w:r>
        <w:t>scientific</w:t>
      </w:r>
      <w:r>
        <w:rPr>
          <w:spacing w:val="-16"/>
        </w:rPr>
        <w:t xml:space="preserve"> </w:t>
      </w:r>
      <w:r>
        <w:t>and</w:t>
      </w:r>
      <w:r>
        <w:rPr>
          <w:spacing w:val="-15"/>
        </w:rPr>
        <w:t xml:space="preserve"> </w:t>
      </w:r>
      <w:r>
        <w:t>technological developments, and emerging societal trends to provide relevant</w:t>
      </w:r>
      <w:r>
        <w:rPr>
          <w:spacing w:val="-7"/>
        </w:rPr>
        <w:t xml:space="preserve"> </w:t>
      </w:r>
      <w:r>
        <w:t>services</w:t>
      </w:r>
    </w:p>
    <w:p w:rsidR="006C64EB" w:rsidRDefault="006C64EB"/>
    <w:p w:rsidR="006C64EB" w:rsidRDefault="006613EA">
      <w:pPr>
        <w:pStyle w:val="Heading1"/>
        <w:numPr>
          <w:ilvl w:val="0"/>
          <w:numId w:val="12"/>
        </w:numPr>
        <w:tabs>
          <w:tab w:val="left" w:pos="839"/>
          <w:tab w:val="left" w:pos="840"/>
        </w:tabs>
        <w:spacing w:before="44"/>
        <w:ind w:left="839" w:hanging="719"/>
        <w:jc w:val="left"/>
      </w:pPr>
      <w:bookmarkStart w:id="5" w:name="IV._Values_and_Ethics"/>
      <w:bookmarkEnd w:id="5"/>
      <w:r>
        <w:t>Values and</w:t>
      </w:r>
      <w:r>
        <w:rPr>
          <w:spacing w:val="-3"/>
        </w:rPr>
        <w:t xml:space="preserve"> </w:t>
      </w:r>
      <w:r>
        <w:t>Ethics</w:t>
      </w:r>
    </w:p>
    <w:p w:rsidR="006C64EB" w:rsidRDefault="006C64EB">
      <w:pPr>
        <w:pStyle w:val="BodyText"/>
        <w:spacing w:before="11"/>
        <w:rPr>
          <w:b/>
          <w:sz w:val="23"/>
        </w:rPr>
      </w:pPr>
    </w:p>
    <w:p w:rsidR="006C64EB" w:rsidRDefault="006613EA">
      <w:pPr>
        <w:pStyle w:val="BodyText"/>
        <w:ind w:left="120" w:right="231"/>
      </w:pPr>
      <w:r>
        <w:t>The students of the School of Social Work are expected to become familiar with and follow the National Association of Social Workers’ Code of Ethics (</w:t>
      </w:r>
      <w:hyperlink r:id="rId9">
        <w:r>
          <w:t xml:space="preserve">http://www.socialworkers.org/pubs/code/code.asp) </w:t>
        </w:r>
      </w:hyperlink>
      <w:r>
        <w:t>and The University of Akron Sexual Harassment Policy (</w:t>
      </w:r>
      <w:hyperlink r:id="rId10">
        <w:r>
          <w:rPr>
            <w:u w:val="single"/>
          </w:rPr>
          <w:t>http://wayne.uakron.edu/dotAsset/552835.pdf</w:t>
        </w:r>
      </w:hyperlink>
      <w:r>
        <w:t>) while a student in the school. Some subject matter may be controversial. While students may vary in strength of support for a certain position, it is expected that all students will be tolerant of other viewpoints and will develop an ability to listen and understand each other’s perspectives. In addition, students are expected to develop the ability to help clients develop their own views and perspectives rather than the students imposing their values and opinions on clients.</w:t>
      </w:r>
    </w:p>
    <w:p w:rsidR="006C64EB" w:rsidRDefault="006613EA">
      <w:pPr>
        <w:pStyle w:val="Heading1"/>
        <w:numPr>
          <w:ilvl w:val="0"/>
          <w:numId w:val="12"/>
        </w:numPr>
        <w:tabs>
          <w:tab w:val="left" w:pos="839"/>
          <w:tab w:val="left" w:pos="840"/>
        </w:tabs>
        <w:spacing w:before="200"/>
        <w:ind w:left="839" w:hanging="719"/>
        <w:jc w:val="left"/>
      </w:pPr>
      <w:bookmarkStart w:id="6" w:name="V._Diversity"/>
      <w:bookmarkEnd w:id="6"/>
      <w:r>
        <w:t>Diversity</w:t>
      </w:r>
    </w:p>
    <w:p w:rsidR="006C64EB" w:rsidRDefault="006C64EB">
      <w:pPr>
        <w:pStyle w:val="BodyText"/>
        <w:spacing w:before="1"/>
        <w:rPr>
          <w:b/>
        </w:rPr>
      </w:pPr>
    </w:p>
    <w:p w:rsidR="006C64EB" w:rsidRDefault="006613EA">
      <w:pPr>
        <w:pStyle w:val="BodyText"/>
        <w:ind w:left="120" w:right="296"/>
      </w:pPr>
      <w:r>
        <w:t>In Educational Policy 3.1, CSWE’s Commission on Accreditation indicates that each social work program must demonstrate a commitment to diversity, including age, class, color, culture, disability, gender, gender identity and expression, immigration status, political ideology, race, religion, sex, and sexual orientation. The University of Akron School of Social Work takes this commitment seriously, and infuses content on diverse populations in each social work course offered at the undergraduate level.</w:t>
      </w:r>
    </w:p>
    <w:p w:rsidR="006C64EB" w:rsidRDefault="006C64EB">
      <w:pPr>
        <w:pStyle w:val="BodyText"/>
        <w:spacing w:before="11"/>
        <w:rPr>
          <w:sz w:val="23"/>
        </w:rPr>
      </w:pPr>
    </w:p>
    <w:p w:rsidR="006C64EB" w:rsidRDefault="006613EA">
      <w:pPr>
        <w:pStyle w:val="Heading1"/>
        <w:numPr>
          <w:ilvl w:val="0"/>
          <w:numId w:val="12"/>
        </w:numPr>
        <w:tabs>
          <w:tab w:val="left" w:pos="659"/>
          <w:tab w:val="left" w:pos="660"/>
        </w:tabs>
        <w:spacing w:before="1"/>
        <w:ind w:left="659" w:hanging="539"/>
        <w:jc w:val="left"/>
      </w:pPr>
      <w:r>
        <w:t>Course Requirements and Grading</w:t>
      </w:r>
      <w:r>
        <w:rPr>
          <w:spacing w:val="-9"/>
        </w:rPr>
        <w:t xml:space="preserve"> </w:t>
      </w:r>
      <w:r>
        <w:t>Criteria</w:t>
      </w:r>
    </w:p>
    <w:p w:rsidR="006C64EB" w:rsidRDefault="006C64EB">
      <w:pPr>
        <w:pStyle w:val="BodyText"/>
        <w:rPr>
          <w:b/>
        </w:rPr>
      </w:pPr>
    </w:p>
    <w:p w:rsidR="00AB4737" w:rsidRDefault="006613EA" w:rsidP="00AB4737">
      <w:pPr>
        <w:pStyle w:val="BodyText"/>
        <w:spacing w:before="1"/>
        <w:ind w:left="119" w:right="159"/>
      </w:pPr>
      <w:r>
        <w:t xml:space="preserve">This course requires 225 clock hours of supervised internship. </w:t>
      </w:r>
      <w:r w:rsidR="00AB4737">
        <w:t xml:space="preserve">This course has a required field course platform fee </w:t>
      </w:r>
      <w:r w:rsidR="00AB4737" w:rsidRPr="002F1D4B">
        <w:rPr>
          <w:highlight w:val="yellow"/>
        </w:rPr>
        <w:t>of $195.00 per student</w:t>
      </w:r>
      <w:r w:rsidR="00E66040">
        <w:rPr>
          <w:highlight w:val="yellow"/>
        </w:rPr>
        <w:t>,</w:t>
      </w:r>
      <w:r w:rsidR="00AB4737">
        <w:rPr>
          <w:highlight w:val="yellow"/>
        </w:rPr>
        <w:t xml:space="preserve"> </w:t>
      </w:r>
      <w:r w:rsidR="00AB4737">
        <w:t xml:space="preserve">unless paid previously in </w:t>
      </w:r>
      <w:r w:rsidR="00AB4737" w:rsidRPr="00AB4737">
        <w:t>7750:493</w:t>
      </w:r>
      <w:r w:rsidR="00AB4737">
        <w:t xml:space="preserve">. </w:t>
      </w:r>
    </w:p>
    <w:p w:rsidR="006C64EB" w:rsidRDefault="006613EA">
      <w:pPr>
        <w:pStyle w:val="BodyText"/>
        <w:spacing w:before="1"/>
        <w:ind w:left="119" w:right="159"/>
      </w:pPr>
      <w:r>
        <w:t>Assignments include, but are not limited to, readings assigned by the field instructor, opportunities for continuing practice with small and large client systems, attendance at staff meetings and other meetings appropriate to agency operation, and research projects. Students are expected to adhere to the Student Integrative Learning Contract developed in the first semester of field, in consultation with their field instructor and faculty liaison. The contract is based upon both the field program objectives and the student’s learning needs and serves as the guide for student learning throughout the field experience. The contract specifies the primary learning objectives and experiences planned for the student within three areas as follows:</w:t>
      </w:r>
    </w:p>
    <w:p w:rsidR="006C64EB" w:rsidRDefault="006C64EB">
      <w:pPr>
        <w:pStyle w:val="BodyText"/>
      </w:pPr>
    </w:p>
    <w:p w:rsidR="006C64EB" w:rsidRDefault="006613EA">
      <w:pPr>
        <w:pStyle w:val="BodyText"/>
        <w:ind w:left="120" w:right="115"/>
        <w:jc w:val="both"/>
      </w:pPr>
      <w:r>
        <w:rPr>
          <w:b/>
          <w:u w:val="single"/>
        </w:rPr>
        <w:t>Direct Practice</w:t>
      </w:r>
      <w:r>
        <w:rPr>
          <w:b/>
        </w:rPr>
        <w:t xml:space="preserve"> </w:t>
      </w:r>
      <w:r>
        <w:t xml:space="preserve">has as its focus the </w:t>
      </w:r>
      <w:r>
        <w:rPr>
          <w:u w:val="single"/>
        </w:rPr>
        <w:t>client</w:t>
      </w:r>
      <w:r>
        <w:t>. Direct Practice refers to that area of professional practice</w:t>
      </w:r>
      <w:r>
        <w:rPr>
          <w:spacing w:val="-7"/>
        </w:rPr>
        <w:t xml:space="preserve"> </w:t>
      </w:r>
      <w:r>
        <w:t>in</w:t>
      </w:r>
      <w:r>
        <w:rPr>
          <w:spacing w:val="-6"/>
        </w:rPr>
        <w:t xml:space="preserve"> </w:t>
      </w:r>
      <w:r>
        <w:t>which</w:t>
      </w:r>
      <w:r>
        <w:rPr>
          <w:spacing w:val="-6"/>
        </w:rPr>
        <w:t xml:space="preserve"> </w:t>
      </w:r>
      <w:r>
        <w:t>students</w:t>
      </w:r>
      <w:r>
        <w:rPr>
          <w:spacing w:val="-8"/>
        </w:rPr>
        <w:t xml:space="preserve"> </w:t>
      </w:r>
      <w:r>
        <w:t>work</w:t>
      </w:r>
      <w:r>
        <w:rPr>
          <w:spacing w:val="-8"/>
        </w:rPr>
        <w:t xml:space="preserve"> </w:t>
      </w:r>
      <w:r>
        <w:t>in</w:t>
      </w:r>
      <w:r>
        <w:rPr>
          <w:spacing w:val="-9"/>
        </w:rPr>
        <w:t xml:space="preserve"> </w:t>
      </w:r>
      <w:r>
        <w:t>purposeful,</w:t>
      </w:r>
      <w:r>
        <w:rPr>
          <w:spacing w:val="-10"/>
        </w:rPr>
        <w:t xml:space="preserve"> </w:t>
      </w:r>
      <w:r>
        <w:t>face-to-face</w:t>
      </w:r>
      <w:r>
        <w:rPr>
          <w:spacing w:val="-9"/>
        </w:rPr>
        <w:t xml:space="preserve"> </w:t>
      </w:r>
      <w:r>
        <w:t>contact</w:t>
      </w:r>
      <w:r>
        <w:rPr>
          <w:spacing w:val="-9"/>
        </w:rPr>
        <w:t xml:space="preserve"> </w:t>
      </w:r>
      <w:r>
        <w:t>with</w:t>
      </w:r>
      <w:r>
        <w:rPr>
          <w:spacing w:val="-9"/>
        </w:rPr>
        <w:t xml:space="preserve"> </w:t>
      </w:r>
      <w:r>
        <w:t>identified</w:t>
      </w:r>
      <w:r>
        <w:rPr>
          <w:spacing w:val="-9"/>
        </w:rPr>
        <w:t xml:space="preserve"> </w:t>
      </w:r>
      <w:r>
        <w:t>client</w:t>
      </w:r>
      <w:r>
        <w:rPr>
          <w:spacing w:val="-9"/>
        </w:rPr>
        <w:t xml:space="preserve"> </w:t>
      </w:r>
      <w:r>
        <w:t>systems and with collateral persons and organizations relevant to those particular client systems. Such collateral contact may involve client advocacy within the field setting</w:t>
      </w:r>
      <w:r>
        <w:rPr>
          <w:spacing w:val="-8"/>
        </w:rPr>
        <w:t xml:space="preserve"> </w:t>
      </w:r>
      <w:r>
        <w:t>itself.</w:t>
      </w:r>
    </w:p>
    <w:p w:rsidR="006C64EB" w:rsidRDefault="006C64EB">
      <w:pPr>
        <w:pStyle w:val="BodyText"/>
        <w:spacing w:before="11"/>
        <w:rPr>
          <w:sz w:val="23"/>
        </w:rPr>
      </w:pPr>
    </w:p>
    <w:p w:rsidR="006C64EB" w:rsidRDefault="006613EA" w:rsidP="001151C7">
      <w:pPr>
        <w:pStyle w:val="BodyText"/>
        <w:spacing w:before="1"/>
        <w:ind w:left="120" w:right="116"/>
        <w:jc w:val="both"/>
      </w:pPr>
      <w:r>
        <w:rPr>
          <w:b/>
          <w:u w:val="single"/>
        </w:rPr>
        <w:t xml:space="preserve">Service Impact </w:t>
      </w:r>
      <w:r>
        <w:t xml:space="preserve">has as its focus the </w:t>
      </w:r>
      <w:r>
        <w:rPr>
          <w:u w:val="single"/>
        </w:rPr>
        <w:t>agency</w:t>
      </w:r>
      <w:r>
        <w:t>. Service Impact refers to that area of professional practice where students contribute to changes in agency policies and services and in broader social policies affecting the populations they serve. This are</w:t>
      </w:r>
      <w:r w:rsidR="001151C7">
        <w:t xml:space="preserve">a also involves contributions to </w:t>
      </w:r>
      <w:r>
        <w:t>changes in organizational work cultures affecting agency and interagency work groups and staff relationships.</w:t>
      </w:r>
    </w:p>
    <w:p w:rsidR="006C64EB" w:rsidRDefault="006C64EB">
      <w:pPr>
        <w:pStyle w:val="BodyText"/>
        <w:spacing w:before="12"/>
        <w:rPr>
          <w:sz w:val="23"/>
        </w:rPr>
      </w:pPr>
    </w:p>
    <w:p w:rsidR="006C64EB" w:rsidRDefault="006613EA">
      <w:pPr>
        <w:pStyle w:val="BodyText"/>
        <w:ind w:left="119" w:right="114"/>
        <w:jc w:val="both"/>
      </w:pPr>
      <w:r>
        <w:rPr>
          <w:b/>
          <w:u w:val="single"/>
        </w:rPr>
        <w:t>Professional</w:t>
      </w:r>
      <w:r>
        <w:rPr>
          <w:b/>
          <w:spacing w:val="-4"/>
          <w:u w:val="single"/>
        </w:rPr>
        <w:t xml:space="preserve"> </w:t>
      </w:r>
      <w:r>
        <w:rPr>
          <w:b/>
          <w:u w:val="single"/>
        </w:rPr>
        <w:t>Learning</w:t>
      </w:r>
      <w:r>
        <w:rPr>
          <w:b/>
          <w:spacing w:val="-6"/>
        </w:rPr>
        <w:t xml:space="preserve"> </w:t>
      </w:r>
      <w:r>
        <w:t>has</w:t>
      </w:r>
      <w:r>
        <w:rPr>
          <w:spacing w:val="-5"/>
        </w:rPr>
        <w:t xml:space="preserve"> </w:t>
      </w:r>
      <w:r>
        <w:t>as</w:t>
      </w:r>
      <w:r>
        <w:rPr>
          <w:spacing w:val="-5"/>
        </w:rPr>
        <w:t xml:space="preserve"> </w:t>
      </w:r>
      <w:r>
        <w:t>its</w:t>
      </w:r>
      <w:r>
        <w:rPr>
          <w:spacing w:val="-8"/>
        </w:rPr>
        <w:t xml:space="preserve"> </w:t>
      </w:r>
      <w:r>
        <w:t>focus</w:t>
      </w:r>
      <w:r>
        <w:rPr>
          <w:spacing w:val="-8"/>
        </w:rPr>
        <w:t xml:space="preserve"> </w:t>
      </w:r>
      <w:r>
        <w:t>the</w:t>
      </w:r>
      <w:r>
        <w:rPr>
          <w:spacing w:val="-4"/>
        </w:rPr>
        <w:t xml:space="preserve"> </w:t>
      </w:r>
      <w:r>
        <w:rPr>
          <w:u w:val="single"/>
        </w:rPr>
        <w:t>student</w:t>
      </w:r>
      <w:r>
        <w:t>.</w:t>
      </w:r>
      <w:r>
        <w:rPr>
          <w:spacing w:val="-6"/>
        </w:rPr>
        <w:t xml:space="preserve"> </w:t>
      </w:r>
      <w:r>
        <w:t>Professional</w:t>
      </w:r>
      <w:r>
        <w:rPr>
          <w:spacing w:val="-5"/>
        </w:rPr>
        <w:t xml:space="preserve"> </w:t>
      </w:r>
      <w:r>
        <w:t>Learning</w:t>
      </w:r>
      <w:r>
        <w:rPr>
          <w:spacing w:val="-5"/>
        </w:rPr>
        <w:t xml:space="preserve"> </w:t>
      </w:r>
      <w:r>
        <w:t>refers</w:t>
      </w:r>
      <w:r>
        <w:rPr>
          <w:spacing w:val="-8"/>
        </w:rPr>
        <w:t xml:space="preserve"> </w:t>
      </w:r>
      <w:r>
        <w:t>to</w:t>
      </w:r>
      <w:r>
        <w:rPr>
          <w:spacing w:val="-7"/>
        </w:rPr>
        <w:t xml:space="preserve"> </w:t>
      </w:r>
      <w:r>
        <w:t>the</w:t>
      </w:r>
      <w:r>
        <w:rPr>
          <w:spacing w:val="-4"/>
        </w:rPr>
        <w:t xml:space="preserve"> </w:t>
      </w:r>
      <w:r>
        <w:t>systematic study and documentation of professional practice in which students develop and maintain responsibility for the planning, content, and focus of their learning and professional development.</w:t>
      </w:r>
    </w:p>
    <w:p w:rsidR="006C64EB" w:rsidRDefault="006C64EB">
      <w:pPr>
        <w:pStyle w:val="BodyText"/>
        <w:spacing w:before="1"/>
      </w:pPr>
    </w:p>
    <w:p w:rsidR="006C64EB" w:rsidRDefault="006613EA">
      <w:pPr>
        <w:pStyle w:val="BodyText"/>
        <w:ind w:left="120" w:right="115"/>
        <w:jc w:val="both"/>
      </w:pPr>
      <w:r>
        <w:t xml:space="preserve">The student’s performance is assessed on an ongoing basis in regular supervisory conferences and in more systematic, comprehensive, and formal evaluations at the end of each semester of field. The field instructor submits an evaluation report and recommended grade each semester. These are reviewed by the faculty liaison who assigns the grade, which is then recorded by the </w:t>
      </w:r>
      <w:r>
        <w:lastRenderedPageBreak/>
        <w:t>Field Coordinator. The student is graded according to her/his performance in meeting the objectives of the field program as specified in the Student Integrative Learning Contract.</w:t>
      </w:r>
    </w:p>
    <w:p w:rsidR="006C64EB" w:rsidRDefault="006C64EB">
      <w:pPr>
        <w:pStyle w:val="BodyText"/>
        <w:spacing w:before="12"/>
        <w:rPr>
          <w:sz w:val="23"/>
        </w:rPr>
      </w:pPr>
    </w:p>
    <w:p w:rsidR="006C64EB" w:rsidRDefault="006613EA">
      <w:pPr>
        <w:pStyle w:val="Heading1"/>
        <w:numPr>
          <w:ilvl w:val="0"/>
          <w:numId w:val="12"/>
        </w:numPr>
        <w:tabs>
          <w:tab w:val="left" w:pos="661"/>
        </w:tabs>
        <w:ind w:left="660" w:hanging="485"/>
        <w:jc w:val="both"/>
      </w:pPr>
      <w:r>
        <w:t>Expectations for Student</w:t>
      </w:r>
      <w:r>
        <w:rPr>
          <w:spacing w:val="-2"/>
        </w:rPr>
        <w:t xml:space="preserve"> </w:t>
      </w:r>
      <w:r>
        <w:t>Behavior</w:t>
      </w:r>
    </w:p>
    <w:p w:rsidR="006C64EB" w:rsidRDefault="006C64EB">
      <w:pPr>
        <w:pStyle w:val="BodyText"/>
        <w:rPr>
          <w:b/>
        </w:rPr>
      </w:pPr>
    </w:p>
    <w:p w:rsidR="006C64EB" w:rsidRDefault="006613EA">
      <w:pPr>
        <w:pStyle w:val="BodyText"/>
        <w:spacing w:before="1"/>
        <w:ind w:left="120" w:right="115"/>
        <w:jc w:val="both"/>
      </w:pPr>
      <w:r>
        <w:t xml:space="preserve">The students in the School of Social Work are expected to become familiar with and follow the National Association of Social Workers </w:t>
      </w:r>
      <w:r>
        <w:rPr>
          <w:b/>
        </w:rPr>
        <w:t xml:space="preserve">Code of Ethics </w:t>
      </w:r>
      <w:r>
        <w:t>while a major in the school. Some subject matter may be controversial, and, while students may vary in their strength of support for a certain position, it is expected that all students will be tolerant of other viewpoints and will develop an ability to listen and understand each other's perspective. In addition, students are expected to develop the ability to help clients develop their own views and perspectives rather than the students imposing their values and opinions on them.</w:t>
      </w:r>
    </w:p>
    <w:p w:rsidR="006C64EB" w:rsidRDefault="006C64EB">
      <w:pPr>
        <w:pStyle w:val="BodyText"/>
        <w:spacing w:before="10"/>
        <w:rPr>
          <w:sz w:val="23"/>
        </w:rPr>
      </w:pPr>
    </w:p>
    <w:p w:rsidR="006C64EB" w:rsidRDefault="006613EA">
      <w:pPr>
        <w:pStyle w:val="BodyText"/>
        <w:ind w:left="120" w:right="115"/>
        <w:jc w:val="both"/>
      </w:pPr>
      <w:r>
        <w:t>Students who believe they may need an accommodation based on the impact of a disability should contact the Office of Accessibility at (330) 972-7928.</w:t>
      </w:r>
    </w:p>
    <w:p w:rsidR="006C64EB" w:rsidRDefault="006C64EB">
      <w:pPr>
        <w:pStyle w:val="BodyText"/>
      </w:pPr>
    </w:p>
    <w:p w:rsidR="006C64EB" w:rsidRDefault="006613EA">
      <w:pPr>
        <w:pStyle w:val="Heading1"/>
        <w:numPr>
          <w:ilvl w:val="0"/>
          <w:numId w:val="12"/>
        </w:numPr>
        <w:tabs>
          <w:tab w:val="left" w:pos="660"/>
        </w:tabs>
        <w:ind w:left="659" w:hanging="477"/>
        <w:jc w:val="both"/>
        <w:rPr>
          <w:sz w:val="26"/>
        </w:rPr>
      </w:pPr>
      <w:r>
        <w:t>Course Outline and Specific</w:t>
      </w:r>
      <w:r>
        <w:rPr>
          <w:spacing w:val="-5"/>
        </w:rPr>
        <w:t xml:space="preserve"> </w:t>
      </w:r>
      <w:r>
        <w:t>Assignments</w:t>
      </w:r>
    </w:p>
    <w:p w:rsidR="006C64EB" w:rsidRDefault="006C64EB">
      <w:pPr>
        <w:pStyle w:val="BodyText"/>
        <w:spacing w:before="1"/>
        <w:rPr>
          <w:b/>
        </w:rPr>
      </w:pPr>
    </w:p>
    <w:p w:rsidR="006C64EB" w:rsidRDefault="006613EA">
      <w:pPr>
        <w:pStyle w:val="BodyText"/>
        <w:ind w:left="120" w:right="116"/>
        <w:jc w:val="both"/>
      </w:pPr>
      <w:r>
        <w:t>The Student Integrative Learning Contract, written in the first field semester, is used during this semester as well, but may be modified commensurate with developing student learning needs or changing agency context. Other assignments are at the discretion of the field instructor in consultation, as needed, with the faculty liaison.</w:t>
      </w:r>
    </w:p>
    <w:p w:rsidR="006C64EB" w:rsidRDefault="006C64EB">
      <w:pPr>
        <w:pStyle w:val="BodyText"/>
        <w:spacing w:before="11"/>
        <w:rPr>
          <w:sz w:val="23"/>
        </w:rPr>
      </w:pPr>
    </w:p>
    <w:p w:rsidR="006C64EB" w:rsidRDefault="006613EA">
      <w:pPr>
        <w:pStyle w:val="BodyText"/>
        <w:spacing w:before="1"/>
        <w:ind w:left="120" w:right="114"/>
        <w:jc w:val="both"/>
      </w:pPr>
      <w:r>
        <w:rPr>
          <w:b/>
          <w:u w:val="single"/>
        </w:rPr>
        <w:t>Direct practice</w:t>
      </w:r>
      <w:r>
        <w:rPr>
          <w:b/>
        </w:rPr>
        <w:t xml:space="preserve"> </w:t>
      </w:r>
      <w:r>
        <w:t>assignments include work with individuals, families, groups, organization, and communities as identified client systems, and with collateral persons and organizations. This practice takes the form of work with diverse client systems, including some experience with all phases of practice from initial assessment through termination; and work with at-risk and vulnerable client populations as related to clients’ age, class, color, culture, disability, ethnicity, family</w:t>
      </w:r>
      <w:r>
        <w:rPr>
          <w:spacing w:val="-15"/>
        </w:rPr>
        <w:t xml:space="preserve"> </w:t>
      </w:r>
      <w:r>
        <w:t>structure,</w:t>
      </w:r>
      <w:r>
        <w:rPr>
          <w:spacing w:val="-14"/>
        </w:rPr>
        <w:t xml:space="preserve"> </w:t>
      </w:r>
      <w:r>
        <w:t>gender,</w:t>
      </w:r>
      <w:r>
        <w:rPr>
          <w:spacing w:val="-16"/>
        </w:rPr>
        <w:t xml:space="preserve"> </w:t>
      </w:r>
      <w:r>
        <w:t>marital</w:t>
      </w:r>
      <w:r>
        <w:rPr>
          <w:spacing w:val="-14"/>
        </w:rPr>
        <w:t xml:space="preserve"> </w:t>
      </w:r>
      <w:r>
        <w:t>status,</w:t>
      </w:r>
      <w:r>
        <w:rPr>
          <w:spacing w:val="-16"/>
        </w:rPr>
        <w:t xml:space="preserve"> </w:t>
      </w:r>
      <w:r>
        <w:t>national</w:t>
      </w:r>
      <w:r>
        <w:rPr>
          <w:spacing w:val="-16"/>
        </w:rPr>
        <w:t xml:space="preserve"> </w:t>
      </w:r>
      <w:r>
        <w:t>origin,</w:t>
      </w:r>
      <w:r>
        <w:rPr>
          <w:spacing w:val="-14"/>
        </w:rPr>
        <w:t xml:space="preserve"> </w:t>
      </w:r>
      <w:r>
        <w:t>race,</w:t>
      </w:r>
      <w:r>
        <w:rPr>
          <w:spacing w:val="-16"/>
        </w:rPr>
        <w:t xml:space="preserve"> </w:t>
      </w:r>
      <w:r>
        <w:t>religion,</w:t>
      </w:r>
      <w:r>
        <w:rPr>
          <w:spacing w:val="-14"/>
        </w:rPr>
        <w:t xml:space="preserve"> </w:t>
      </w:r>
      <w:r>
        <w:t>sex,</w:t>
      </w:r>
      <w:r>
        <w:rPr>
          <w:spacing w:val="-14"/>
        </w:rPr>
        <w:t xml:space="preserve"> </w:t>
      </w:r>
      <w:r>
        <w:t>and</w:t>
      </w:r>
      <w:r>
        <w:rPr>
          <w:spacing w:val="-13"/>
        </w:rPr>
        <w:t xml:space="preserve"> </w:t>
      </w:r>
      <w:r>
        <w:t>sexual</w:t>
      </w:r>
      <w:r>
        <w:rPr>
          <w:spacing w:val="-14"/>
        </w:rPr>
        <w:t xml:space="preserve"> </w:t>
      </w:r>
      <w:r>
        <w:t>orientation.</w:t>
      </w:r>
    </w:p>
    <w:p w:rsidR="006C64EB" w:rsidRDefault="006C64EB">
      <w:pPr>
        <w:jc w:val="both"/>
      </w:pPr>
    </w:p>
    <w:p w:rsidR="006C64EB" w:rsidRDefault="006613EA">
      <w:pPr>
        <w:pStyle w:val="BodyText"/>
        <w:spacing w:before="51"/>
        <w:ind w:left="120" w:right="114"/>
        <w:jc w:val="both"/>
      </w:pPr>
      <w:r>
        <w:rPr>
          <w:b/>
          <w:u w:val="single"/>
        </w:rPr>
        <w:t>Service impact</w:t>
      </w:r>
      <w:r>
        <w:rPr>
          <w:b/>
        </w:rPr>
        <w:t xml:space="preserve"> </w:t>
      </w:r>
      <w:r>
        <w:t>assignments include collaboration in ongoing and ad hoc work groups, such as agency and interagency teams, committees, staff meetings, and so on; work in intra-agency groups around service duplication, gaps, or collaboration; open discussion of the impact of agency and community policies, procedures and work cultures on clients, agency services, staff relationships</w:t>
      </w:r>
      <w:r>
        <w:rPr>
          <w:spacing w:val="-8"/>
        </w:rPr>
        <w:t xml:space="preserve"> </w:t>
      </w:r>
      <w:r>
        <w:t>and</w:t>
      </w:r>
      <w:r>
        <w:rPr>
          <w:spacing w:val="-9"/>
        </w:rPr>
        <w:t xml:space="preserve"> </w:t>
      </w:r>
      <w:r>
        <w:t>students;</w:t>
      </w:r>
      <w:r>
        <w:rPr>
          <w:spacing w:val="-7"/>
        </w:rPr>
        <w:t xml:space="preserve"> </w:t>
      </w:r>
      <w:r>
        <w:t>grant-writing;</w:t>
      </w:r>
      <w:r>
        <w:rPr>
          <w:spacing w:val="-9"/>
        </w:rPr>
        <w:t xml:space="preserve"> </w:t>
      </w:r>
      <w:r>
        <w:t>development</w:t>
      </w:r>
      <w:r>
        <w:rPr>
          <w:spacing w:val="-9"/>
        </w:rPr>
        <w:t xml:space="preserve"> </w:t>
      </w:r>
      <w:r>
        <w:t>of</w:t>
      </w:r>
      <w:r>
        <w:rPr>
          <w:spacing w:val="-9"/>
        </w:rPr>
        <w:t xml:space="preserve"> </w:t>
      </w:r>
      <w:r>
        <w:t>needs</w:t>
      </w:r>
      <w:r>
        <w:rPr>
          <w:spacing w:val="-10"/>
        </w:rPr>
        <w:t xml:space="preserve"> </w:t>
      </w:r>
      <w:r>
        <w:t>assessment</w:t>
      </w:r>
      <w:r>
        <w:rPr>
          <w:spacing w:val="-9"/>
        </w:rPr>
        <w:t xml:space="preserve"> </w:t>
      </w:r>
      <w:r>
        <w:t>surveys</w:t>
      </w:r>
      <w:r>
        <w:rPr>
          <w:spacing w:val="-10"/>
        </w:rPr>
        <w:t xml:space="preserve"> </w:t>
      </w:r>
      <w:r>
        <w:t>or</w:t>
      </w:r>
      <w:r>
        <w:rPr>
          <w:spacing w:val="-9"/>
        </w:rPr>
        <w:t xml:space="preserve"> </w:t>
      </w:r>
      <w:r>
        <w:t>program outcome measures; research around modification of agency policies, procedures, and services; development</w:t>
      </w:r>
      <w:r>
        <w:rPr>
          <w:spacing w:val="-11"/>
        </w:rPr>
        <w:t xml:space="preserve"> </w:t>
      </w:r>
      <w:r>
        <w:t>of</w:t>
      </w:r>
      <w:r>
        <w:rPr>
          <w:spacing w:val="-13"/>
        </w:rPr>
        <w:t xml:space="preserve"> </w:t>
      </w:r>
      <w:r>
        <w:t>new</w:t>
      </w:r>
      <w:r>
        <w:rPr>
          <w:spacing w:val="-13"/>
        </w:rPr>
        <w:t xml:space="preserve"> </w:t>
      </w:r>
      <w:r>
        <w:t>services;</w:t>
      </w:r>
      <w:r>
        <w:rPr>
          <w:spacing w:val="-12"/>
        </w:rPr>
        <w:t xml:space="preserve"> </w:t>
      </w:r>
      <w:r>
        <w:t>legislative</w:t>
      </w:r>
      <w:r>
        <w:rPr>
          <w:spacing w:val="-14"/>
        </w:rPr>
        <w:t xml:space="preserve"> </w:t>
      </w:r>
      <w:r>
        <w:t>action;</w:t>
      </w:r>
      <w:r>
        <w:rPr>
          <w:spacing w:val="-12"/>
        </w:rPr>
        <w:t xml:space="preserve"> </w:t>
      </w:r>
      <w:r>
        <w:t>agency</w:t>
      </w:r>
      <w:r>
        <w:rPr>
          <w:spacing w:val="-13"/>
        </w:rPr>
        <w:t xml:space="preserve"> </w:t>
      </w:r>
      <w:r>
        <w:t>board</w:t>
      </w:r>
      <w:r>
        <w:rPr>
          <w:spacing w:val="-11"/>
        </w:rPr>
        <w:t xml:space="preserve"> </w:t>
      </w:r>
      <w:r>
        <w:t>attendance;</w:t>
      </w:r>
      <w:r>
        <w:rPr>
          <w:spacing w:val="-14"/>
        </w:rPr>
        <w:t xml:space="preserve"> </w:t>
      </w:r>
      <w:r>
        <w:t>community</w:t>
      </w:r>
      <w:r>
        <w:rPr>
          <w:spacing w:val="-13"/>
        </w:rPr>
        <w:t xml:space="preserve"> </w:t>
      </w:r>
      <w:r>
        <w:t>education and outreach; and so</w:t>
      </w:r>
      <w:r>
        <w:rPr>
          <w:spacing w:val="-4"/>
        </w:rPr>
        <w:t xml:space="preserve"> </w:t>
      </w:r>
      <w:r>
        <w:t>on.</w:t>
      </w:r>
    </w:p>
    <w:p w:rsidR="006C64EB" w:rsidRDefault="006C64EB">
      <w:pPr>
        <w:pStyle w:val="BodyText"/>
        <w:spacing w:before="1"/>
      </w:pPr>
    </w:p>
    <w:p w:rsidR="006C64EB" w:rsidRDefault="006613EA">
      <w:pPr>
        <w:pStyle w:val="BodyText"/>
        <w:ind w:left="120" w:right="114"/>
        <w:jc w:val="both"/>
      </w:pPr>
      <w:r>
        <w:rPr>
          <w:b/>
          <w:u w:val="single"/>
        </w:rPr>
        <w:t>Professional learning</w:t>
      </w:r>
      <w:r>
        <w:rPr>
          <w:b/>
        </w:rPr>
        <w:t xml:space="preserve"> </w:t>
      </w:r>
      <w:r>
        <w:t xml:space="preserve">includes collaboration with the field instructor regarding learning assignments focused on the ongoing documentation, examination and assessment of student </w:t>
      </w:r>
      <w:r>
        <w:lastRenderedPageBreak/>
        <w:t>performance through process recording, audio-visual taping, and/or observation showing how students actually perform under certain conditions and assess their own practice; content- oriented documentation of student performance showing how they use agency records of accountability, e.g., progress notes, proposals, memos, reports, and so on; meeting the learning objectives; and learning time, anger, stress management skills.</w:t>
      </w:r>
    </w:p>
    <w:p w:rsidR="006C64EB" w:rsidRDefault="006C64EB">
      <w:pPr>
        <w:pStyle w:val="BodyText"/>
        <w:spacing w:before="11"/>
        <w:rPr>
          <w:sz w:val="23"/>
        </w:rPr>
      </w:pPr>
    </w:p>
    <w:p w:rsidR="006C64EB" w:rsidRDefault="006613EA">
      <w:pPr>
        <w:pStyle w:val="Heading1"/>
        <w:numPr>
          <w:ilvl w:val="0"/>
          <w:numId w:val="12"/>
        </w:numPr>
        <w:tabs>
          <w:tab w:val="left" w:pos="485"/>
        </w:tabs>
        <w:ind w:left="484" w:hanging="364"/>
        <w:jc w:val="left"/>
      </w:pPr>
      <w:r>
        <w:t>Assignments</w:t>
      </w:r>
    </w:p>
    <w:p w:rsidR="006C64EB" w:rsidRDefault="006C64EB">
      <w:pPr>
        <w:pStyle w:val="BodyText"/>
        <w:spacing w:before="1"/>
        <w:rPr>
          <w:b/>
        </w:rPr>
      </w:pPr>
    </w:p>
    <w:p w:rsidR="006C64EB" w:rsidRDefault="006613EA">
      <w:pPr>
        <w:pStyle w:val="BodyText"/>
        <w:ind w:left="119" w:right="115"/>
        <w:jc w:val="both"/>
      </w:pPr>
      <w:r>
        <w:t>Direct practice and service impact assignments should include practice, as appropriate to the agency,</w:t>
      </w:r>
      <w:r>
        <w:rPr>
          <w:spacing w:val="-9"/>
        </w:rPr>
        <w:t xml:space="preserve"> </w:t>
      </w:r>
      <w:r>
        <w:t>with</w:t>
      </w:r>
      <w:r>
        <w:rPr>
          <w:spacing w:val="-8"/>
        </w:rPr>
        <w:t xml:space="preserve"> </w:t>
      </w:r>
      <w:r>
        <w:t>and</w:t>
      </w:r>
      <w:r>
        <w:rPr>
          <w:spacing w:val="-8"/>
        </w:rPr>
        <w:t xml:space="preserve"> </w:t>
      </w:r>
      <w:r>
        <w:t>on</w:t>
      </w:r>
      <w:r>
        <w:rPr>
          <w:spacing w:val="-10"/>
        </w:rPr>
        <w:t xml:space="preserve"> </w:t>
      </w:r>
      <w:r>
        <w:t>behalf</w:t>
      </w:r>
      <w:r>
        <w:rPr>
          <w:spacing w:val="-8"/>
        </w:rPr>
        <w:t xml:space="preserve"> </w:t>
      </w:r>
      <w:r>
        <w:t>of</w:t>
      </w:r>
      <w:r>
        <w:rPr>
          <w:spacing w:val="-10"/>
        </w:rPr>
        <w:t xml:space="preserve"> </w:t>
      </w:r>
      <w:r>
        <w:t>populations</w:t>
      </w:r>
      <w:r>
        <w:rPr>
          <w:spacing w:val="-9"/>
        </w:rPr>
        <w:t xml:space="preserve"> </w:t>
      </w:r>
      <w:r>
        <w:t>of</w:t>
      </w:r>
      <w:r>
        <w:rPr>
          <w:spacing w:val="-8"/>
        </w:rPr>
        <w:t xml:space="preserve"> </w:t>
      </w:r>
      <w:r>
        <w:t>special</w:t>
      </w:r>
      <w:r>
        <w:rPr>
          <w:spacing w:val="-9"/>
        </w:rPr>
        <w:t xml:space="preserve"> </w:t>
      </w:r>
      <w:r>
        <w:t>concern</w:t>
      </w:r>
      <w:r>
        <w:rPr>
          <w:spacing w:val="-8"/>
        </w:rPr>
        <w:t xml:space="preserve"> </w:t>
      </w:r>
      <w:r>
        <w:t>to</w:t>
      </w:r>
      <w:r>
        <w:rPr>
          <w:spacing w:val="-8"/>
        </w:rPr>
        <w:t xml:space="preserve"> </w:t>
      </w:r>
      <w:r>
        <w:t>this</w:t>
      </w:r>
      <w:r>
        <w:rPr>
          <w:spacing w:val="-9"/>
        </w:rPr>
        <w:t xml:space="preserve"> </w:t>
      </w:r>
      <w:r>
        <w:t>program</w:t>
      </w:r>
      <w:r>
        <w:rPr>
          <w:spacing w:val="-8"/>
        </w:rPr>
        <w:t xml:space="preserve"> </w:t>
      </w:r>
      <w:r>
        <w:t>--</w:t>
      </w:r>
      <w:r>
        <w:rPr>
          <w:spacing w:val="37"/>
        </w:rPr>
        <w:t xml:space="preserve"> </w:t>
      </w:r>
      <w:r>
        <w:t>those</w:t>
      </w:r>
      <w:r>
        <w:rPr>
          <w:spacing w:val="-8"/>
        </w:rPr>
        <w:t xml:space="preserve"> </w:t>
      </w:r>
      <w:r>
        <w:t>oppressed, at risk, and vulnerable as related to their age, class, color, culture, disability, ethnicity, family structure, gender, marital status, national origin, race, religion, sex, and sexual</w:t>
      </w:r>
      <w:r>
        <w:rPr>
          <w:spacing w:val="-16"/>
        </w:rPr>
        <w:t xml:space="preserve"> </w:t>
      </w:r>
      <w:r>
        <w:t>orientation.</w:t>
      </w:r>
    </w:p>
    <w:p w:rsidR="001151C7" w:rsidRDefault="001151C7">
      <w:pPr>
        <w:pStyle w:val="BodyText"/>
        <w:ind w:left="119" w:right="115"/>
        <w:jc w:val="both"/>
      </w:pPr>
    </w:p>
    <w:p w:rsidR="006C64EB" w:rsidRDefault="006C64EB">
      <w:pPr>
        <w:pStyle w:val="BodyText"/>
        <w:spacing w:before="11"/>
        <w:rPr>
          <w:sz w:val="23"/>
        </w:rPr>
      </w:pPr>
    </w:p>
    <w:p w:rsidR="006C64EB" w:rsidRDefault="006613EA">
      <w:pPr>
        <w:pStyle w:val="Heading1"/>
        <w:numPr>
          <w:ilvl w:val="0"/>
          <w:numId w:val="12"/>
        </w:numPr>
        <w:tabs>
          <w:tab w:val="left" w:pos="659"/>
          <w:tab w:val="left" w:pos="660"/>
        </w:tabs>
        <w:spacing w:before="1"/>
        <w:ind w:left="659" w:hanging="539"/>
        <w:jc w:val="left"/>
      </w:pPr>
      <w:r>
        <w:t>Bibliography</w:t>
      </w:r>
    </w:p>
    <w:p w:rsidR="006C64EB" w:rsidRDefault="006C64EB">
      <w:pPr>
        <w:pStyle w:val="BodyText"/>
        <w:rPr>
          <w:b/>
        </w:rPr>
      </w:pPr>
    </w:p>
    <w:p w:rsidR="006C64EB" w:rsidRDefault="006613EA">
      <w:pPr>
        <w:pStyle w:val="BodyText"/>
        <w:spacing w:before="1"/>
        <w:ind w:left="659" w:right="202" w:hanging="540"/>
      </w:pPr>
      <w:r>
        <w:t xml:space="preserve">Baum, N. (2012). Reflective writing assignment to help social work trainees’ work through poor supervisory relationships. </w:t>
      </w:r>
      <w:r>
        <w:rPr>
          <w:i/>
        </w:rPr>
        <w:t>Social Work Education</w:t>
      </w:r>
      <w:r>
        <w:t xml:space="preserve">, </w:t>
      </w:r>
      <w:r>
        <w:rPr>
          <w:i/>
        </w:rPr>
        <w:t>31</w:t>
      </w:r>
      <w:r>
        <w:t>(1), 110-124. doi:10.1080/02615479.2010.539604</w:t>
      </w:r>
    </w:p>
    <w:p w:rsidR="006C64EB" w:rsidRDefault="006C64EB">
      <w:pPr>
        <w:pStyle w:val="BodyText"/>
        <w:spacing w:before="10"/>
        <w:rPr>
          <w:sz w:val="27"/>
        </w:rPr>
      </w:pPr>
    </w:p>
    <w:p w:rsidR="006C64EB" w:rsidRDefault="006613EA">
      <w:pPr>
        <w:pStyle w:val="BodyText"/>
        <w:ind w:left="659" w:right="1367" w:hanging="540"/>
      </w:pPr>
      <w:r>
        <w:t xml:space="preserve">Bogo, M. (2015). Field education for clinical social work practice: Best practices and contemporary challenges. </w:t>
      </w:r>
      <w:r>
        <w:rPr>
          <w:i/>
        </w:rPr>
        <w:t>Clinical Social Work Journal</w:t>
      </w:r>
      <w:r>
        <w:t xml:space="preserve">, </w:t>
      </w:r>
      <w:r>
        <w:rPr>
          <w:i/>
        </w:rPr>
        <w:t>43</w:t>
      </w:r>
      <w:r>
        <w:t>(3), 317-324. doi:10.1007/s10615-015-0526-5</w:t>
      </w:r>
    </w:p>
    <w:p w:rsidR="006C64EB" w:rsidRDefault="006C64EB">
      <w:pPr>
        <w:pStyle w:val="BodyText"/>
        <w:spacing w:before="2"/>
      </w:pPr>
    </w:p>
    <w:p w:rsidR="006C64EB" w:rsidRDefault="006613EA">
      <w:pPr>
        <w:pStyle w:val="BodyText"/>
        <w:ind w:left="659" w:right="151" w:hanging="540"/>
      </w:pPr>
      <w:r>
        <w:t xml:space="preserve">Boitel, C. R., &amp; Fromm, L. R. (2014). Defining signature pedagogy in social work education: Learning theory and the learning contract. </w:t>
      </w:r>
      <w:r>
        <w:rPr>
          <w:i/>
        </w:rPr>
        <w:t>Journal of Social Work Education</w:t>
      </w:r>
      <w:r>
        <w:t xml:space="preserve">, </w:t>
      </w:r>
      <w:r>
        <w:rPr>
          <w:i/>
        </w:rPr>
        <w:t>50</w:t>
      </w:r>
      <w:r>
        <w:t>(4), 608- 622. doi:10.1080/10437797.2014.947161</w:t>
      </w:r>
    </w:p>
    <w:p w:rsidR="006C64EB" w:rsidRDefault="006C64EB"/>
    <w:p w:rsidR="006C64EB" w:rsidRDefault="006613EA">
      <w:pPr>
        <w:pStyle w:val="BodyText"/>
        <w:spacing w:before="51"/>
        <w:ind w:left="715" w:right="392" w:hanging="596"/>
      </w:pPr>
      <w:r>
        <w:t xml:space="preserve">Colvin, A. D., &amp; Bullock, A. N. (2014). Technology acceptance in social work education: Implications for the field practicum. </w:t>
      </w:r>
      <w:r>
        <w:rPr>
          <w:i/>
        </w:rPr>
        <w:t>Journal of Teaching in Social Work</w:t>
      </w:r>
      <w:r>
        <w:t xml:space="preserve">, </w:t>
      </w:r>
      <w:r>
        <w:rPr>
          <w:i/>
        </w:rPr>
        <w:t>34</w:t>
      </w:r>
      <w:r>
        <w:t>(5), 496-513. doi:10.1080/08841233.2014.952869</w:t>
      </w:r>
    </w:p>
    <w:p w:rsidR="006C64EB" w:rsidRDefault="006C64EB">
      <w:pPr>
        <w:pStyle w:val="BodyText"/>
        <w:spacing w:before="12"/>
        <w:rPr>
          <w:sz w:val="23"/>
        </w:rPr>
      </w:pPr>
    </w:p>
    <w:p w:rsidR="006C64EB" w:rsidRDefault="006613EA">
      <w:pPr>
        <w:pStyle w:val="BodyText"/>
        <w:ind w:left="120"/>
      </w:pPr>
      <w:r>
        <w:t>Crawford, F., Agustine, S. S., Earle, L., Kuyini-Abubakar, A. B., Luxford, Y., &amp; Babacan, H. (2015).</w:t>
      </w:r>
    </w:p>
    <w:p w:rsidR="006C64EB" w:rsidRDefault="006613EA">
      <w:pPr>
        <w:pStyle w:val="BodyText"/>
        <w:ind w:left="660" w:right="396"/>
      </w:pPr>
      <w:r>
        <w:t xml:space="preserve">Environmental sustainability and social work: A rural australian evaluation of incorporating eco-social work in field education. </w:t>
      </w:r>
      <w:r>
        <w:rPr>
          <w:i/>
        </w:rPr>
        <w:t>Social Work Education</w:t>
      </w:r>
      <w:r>
        <w:t xml:space="preserve">, </w:t>
      </w:r>
      <w:r>
        <w:rPr>
          <w:i/>
        </w:rPr>
        <w:t>34</w:t>
      </w:r>
      <w:r>
        <w:t>(5), 586-599. doi:10.1080/02615479.2015.1074673</w:t>
      </w:r>
    </w:p>
    <w:p w:rsidR="006C64EB" w:rsidRDefault="006C64EB">
      <w:pPr>
        <w:pStyle w:val="BodyText"/>
        <w:spacing w:before="1"/>
      </w:pPr>
    </w:p>
    <w:p w:rsidR="006C64EB" w:rsidRDefault="006613EA">
      <w:pPr>
        <w:ind w:left="660" w:right="483" w:hanging="540"/>
        <w:rPr>
          <w:sz w:val="24"/>
        </w:rPr>
      </w:pPr>
      <w:r>
        <w:rPr>
          <w:sz w:val="24"/>
        </w:rPr>
        <w:t xml:space="preserve">Drolet, J. (2012). Reflecting on field education partnerships on migration and immigration: A canadian perspective. </w:t>
      </w:r>
      <w:r>
        <w:rPr>
          <w:i/>
          <w:sz w:val="24"/>
        </w:rPr>
        <w:t>Reflections: Narratives of Professional Helping</w:t>
      </w:r>
      <w:r>
        <w:rPr>
          <w:sz w:val="24"/>
        </w:rPr>
        <w:t xml:space="preserve">, </w:t>
      </w:r>
      <w:r>
        <w:rPr>
          <w:i/>
          <w:sz w:val="24"/>
        </w:rPr>
        <w:t>18</w:t>
      </w:r>
      <w:r>
        <w:rPr>
          <w:sz w:val="24"/>
        </w:rPr>
        <w:t>(2), 87-91.</w:t>
      </w:r>
    </w:p>
    <w:p w:rsidR="006C64EB" w:rsidRDefault="006C64EB">
      <w:pPr>
        <w:pStyle w:val="BodyText"/>
      </w:pPr>
    </w:p>
    <w:p w:rsidR="006C64EB" w:rsidRDefault="006613EA">
      <w:pPr>
        <w:pStyle w:val="BodyText"/>
        <w:ind w:left="120"/>
      </w:pPr>
      <w:r>
        <w:t>Flynn, C., Kamasua, J., Brydon, K., Lawihin, D., Kornhauser, T., &amp; Grimes, E. (2014).</w:t>
      </w:r>
    </w:p>
    <w:p w:rsidR="006C64EB" w:rsidRDefault="006613EA">
      <w:pPr>
        <w:pStyle w:val="BodyText"/>
        <w:ind w:left="715" w:right="230"/>
      </w:pPr>
      <w:r>
        <w:lastRenderedPageBreak/>
        <w:t xml:space="preserve">Preparedness for field education placement: Social work students' experiences in papua new guinea. </w:t>
      </w:r>
      <w:r>
        <w:rPr>
          <w:i/>
        </w:rPr>
        <w:t>Social Work Education</w:t>
      </w:r>
      <w:r>
        <w:t xml:space="preserve">, </w:t>
      </w:r>
      <w:r>
        <w:rPr>
          <w:i/>
        </w:rPr>
        <w:t>33</w:t>
      </w:r>
      <w:r>
        <w:t>(4), 435-450. doi:10.1080/02615479.2013.834884</w:t>
      </w:r>
    </w:p>
    <w:p w:rsidR="006C64EB" w:rsidRDefault="006C64EB">
      <w:pPr>
        <w:pStyle w:val="BodyText"/>
        <w:spacing w:before="11"/>
        <w:rPr>
          <w:sz w:val="23"/>
        </w:rPr>
      </w:pPr>
    </w:p>
    <w:p w:rsidR="006C64EB" w:rsidRDefault="006613EA">
      <w:pPr>
        <w:pStyle w:val="BodyText"/>
        <w:ind w:left="660" w:hanging="540"/>
      </w:pPr>
      <w:r>
        <w:t xml:space="preserve">Gair, S. (2013). Recognition of prior learning (RPL) in australian social work field education: A standpoint promoting human rights and social justice?. </w:t>
      </w:r>
      <w:r>
        <w:rPr>
          <w:i/>
        </w:rPr>
        <w:t>Journal of Social Work Values &amp; Ethics</w:t>
      </w:r>
      <w:r>
        <w:t xml:space="preserve">, </w:t>
      </w:r>
      <w:r>
        <w:rPr>
          <w:i/>
        </w:rPr>
        <w:t>10</w:t>
      </w:r>
      <w:r>
        <w:t>(1), 72-85.</w:t>
      </w:r>
    </w:p>
    <w:p w:rsidR="006C64EB" w:rsidRDefault="006C64EB">
      <w:pPr>
        <w:pStyle w:val="BodyText"/>
        <w:spacing w:before="12"/>
        <w:rPr>
          <w:sz w:val="23"/>
        </w:rPr>
      </w:pPr>
    </w:p>
    <w:p w:rsidR="006C64EB" w:rsidRDefault="006613EA">
      <w:pPr>
        <w:pStyle w:val="BodyText"/>
        <w:spacing w:line="242" w:lineRule="auto"/>
        <w:ind w:left="715" w:right="686" w:hanging="596"/>
      </w:pPr>
      <w:r>
        <w:t>Geurin, L., Otis, M. D., &amp; Royse, D. (2013). Increasing alternative sentencing in the juvenile justice system through a partnership between public defenders and social</w:t>
      </w:r>
    </w:p>
    <w:p w:rsidR="006C64EB" w:rsidRDefault="006613EA">
      <w:pPr>
        <w:ind w:left="660" w:right="3520"/>
        <w:rPr>
          <w:sz w:val="24"/>
        </w:rPr>
      </w:pPr>
      <w:r>
        <w:rPr>
          <w:sz w:val="24"/>
        </w:rPr>
        <w:t xml:space="preserve">workers. </w:t>
      </w:r>
      <w:r>
        <w:rPr>
          <w:i/>
          <w:sz w:val="24"/>
        </w:rPr>
        <w:t>Journal of Forensic Social Work</w:t>
      </w:r>
      <w:r>
        <w:rPr>
          <w:sz w:val="24"/>
        </w:rPr>
        <w:t xml:space="preserve">, </w:t>
      </w:r>
      <w:r>
        <w:rPr>
          <w:i/>
          <w:sz w:val="24"/>
        </w:rPr>
        <w:t>3</w:t>
      </w:r>
      <w:r>
        <w:rPr>
          <w:sz w:val="24"/>
        </w:rPr>
        <w:t>(3), 261-277. doi:10.1080/1936928X.2013.859026</w:t>
      </w:r>
    </w:p>
    <w:p w:rsidR="006C64EB" w:rsidRDefault="006C64EB">
      <w:pPr>
        <w:pStyle w:val="BodyText"/>
        <w:spacing w:before="8"/>
        <w:rPr>
          <w:sz w:val="23"/>
        </w:rPr>
      </w:pPr>
    </w:p>
    <w:p w:rsidR="001151C7" w:rsidRDefault="001151C7">
      <w:pPr>
        <w:ind w:left="715" w:right="169" w:hanging="596"/>
        <w:rPr>
          <w:sz w:val="24"/>
        </w:rPr>
      </w:pPr>
    </w:p>
    <w:p w:rsidR="001151C7" w:rsidRDefault="001151C7">
      <w:pPr>
        <w:ind w:left="715" w:right="169" w:hanging="596"/>
        <w:rPr>
          <w:sz w:val="24"/>
        </w:rPr>
      </w:pPr>
    </w:p>
    <w:p w:rsidR="006C64EB" w:rsidRDefault="006613EA">
      <w:pPr>
        <w:ind w:left="715" w:right="169" w:hanging="596"/>
        <w:rPr>
          <w:sz w:val="24"/>
        </w:rPr>
      </w:pPr>
      <w:r>
        <w:rPr>
          <w:sz w:val="24"/>
        </w:rPr>
        <w:t xml:space="preserve">Harr, C. R., Brice, T. S., Riley, K., &amp; Moore, B. (2014). The impact of compassion fatigue and compassion satisfaction on social work students. </w:t>
      </w:r>
      <w:r>
        <w:rPr>
          <w:i/>
          <w:sz w:val="24"/>
        </w:rPr>
        <w:t>Journal of The Society For Social Work &amp; Research</w:t>
      </w:r>
      <w:r>
        <w:rPr>
          <w:sz w:val="24"/>
        </w:rPr>
        <w:t xml:space="preserve">, </w:t>
      </w:r>
      <w:r>
        <w:rPr>
          <w:i/>
          <w:sz w:val="24"/>
        </w:rPr>
        <w:t>5</w:t>
      </w:r>
      <w:r>
        <w:rPr>
          <w:sz w:val="24"/>
        </w:rPr>
        <w:t>(2), 233-251. doi:10.1086/676518</w:t>
      </w:r>
    </w:p>
    <w:p w:rsidR="006C64EB" w:rsidRDefault="006C64EB">
      <w:pPr>
        <w:pStyle w:val="BodyText"/>
        <w:spacing w:before="11"/>
        <w:rPr>
          <w:sz w:val="23"/>
        </w:rPr>
      </w:pPr>
    </w:p>
    <w:p w:rsidR="006C64EB" w:rsidRDefault="006613EA">
      <w:pPr>
        <w:pStyle w:val="BodyText"/>
        <w:ind w:left="660" w:right="587" w:hanging="540"/>
      </w:pPr>
      <w:r>
        <w:t xml:space="preserve">Liu, M., Sun, F., &amp; Anderson, S. G. (2013). Challenges in social work field education in china: Lessons from the western experience. </w:t>
      </w:r>
      <w:r>
        <w:rPr>
          <w:i/>
        </w:rPr>
        <w:t>Social Work Education</w:t>
      </w:r>
      <w:r>
        <w:t xml:space="preserve">, </w:t>
      </w:r>
      <w:r>
        <w:rPr>
          <w:i/>
        </w:rPr>
        <w:t>32</w:t>
      </w:r>
      <w:r>
        <w:t>(2), 179-196. doi:10.1080/02615479.2012.723682</w:t>
      </w:r>
    </w:p>
    <w:p w:rsidR="006C64EB" w:rsidRDefault="006C64EB">
      <w:pPr>
        <w:pStyle w:val="BodyText"/>
        <w:spacing w:before="12"/>
        <w:rPr>
          <w:sz w:val="23"/>
        </w:rPr>
      </w:pPr>
    </w:p>
    <w:p w:rsidR="006C64EB" w:rsidRDefault="006613EA">
      <w:pPr>
        <w:pStyle w:val="BodyText"/>
        <w:ind w:left="715" w:right="269" w:hanging="596"/>
      </w:pPr>
      <w:r>
        <w:t xml:space="preserve">Morley, C., &amp; Dunstan, J. (2013). Critical reflection: A response to neoliberal challenges to field education?. </w:t>
      </w:r>
      <w:r>
        <w:rPr>
          <w:i/>
        </w:rPr>
        <w:t>Social Work Education</w:t>
      </w:r>
      <w:r>
        <w:t xml:space="preserve">, </w:t>
      </w:r>
      <w:r>
        <w:rPr>
          <w:i/>
        </w:rPr>
        <w:t>32</w:t>
      </w:r>
      <w:r>
        <w:t>(2), 141-156. doi:10.1080/02615479.2012.730141</w:t>
      </w:r>
    </w:p>
    <w:p w:rsidR="006C64EB" w:rsidRDefault="006C64EB">
      <w:pPr>
        <w:pStyle w:val="BodyText"/>
        <w:spacing w:before="1"/>
      </w:pPr>
    </w:p>
    <w:p w:rsidR="006C64EB" w:rsidRDefault="006613EA">
      <w:pPr>
        <w:pStyle w:val="BodyText"/>
        <w:spacing w:before="1"/>
        <w:ind w:left="660" w:right="511" w:hanging="540"/>
      </w:pPr>
      <w:r>
        <w:t xml:space="preserve">Nimmagadda, J., &amp; Murphy, J. I. (2014). Using simulations to enhance interprofessional competencies for social work and nursing students. </w:t>
      </w:r>
      <w:r>
        <w:rPr>
          <w:i/>
        </w:rPr>
        <w:t>Social Work Education</w:t>
      </w:r>
      <w:r>
        <w:t xml:space="preserve">, </w:t>
      </w:r>
      <w:r>
        <w:rPr>
          <w:i/>
        </w:rPr>
        <w:t>33</w:t>
      </w:r>
      <w:r>
        <w:t>(4), 539- 548. doi:10.1080/02615479.2013.877128</w:t>
      </w:r>
    </w:p>
    <w:p w:rsidR="006C64EB" w:rsidRDefault="006C64EB"/>
    <w:p w:rsidR="006C64EB" w:rsidRDefault="006613EA">
      <w:pPr>
        <w:pStyle w:val="BodyText"/>
        <w:spacing w:before="51"/>
        <w:ind w:left="715" w:right="380" w:hanging="596"/>
      </w:pPr>
      <w:r>
        <w:t xml:space="preserve">Pockett, R. (2014). ‘Health in all placements’ as a curriculum strategy in social work education. </w:t>
      </w:r>
      <w:r>
        <w:rPr>
          <w:i/>
        </w:rPr>
        <w:t>Social Work Education</w:t>
      </w:r>
      <w:r>
        <w:t xml:space="preserve">, </w:t>
      </w:r>
      <w:r>
        <w:rPr>
          <w:i/>
        </w:rPr>
        <w:t>33</w:t>
      </w:r>
      <w:r>
        <w:t>(6), 731-743. doi:10.1080/02615479.2013.874411</w:t>
      </w:r>
    </w:p>
    <w:p w:rsidR="006C64EB" w:rsidRDefault="006C64EB">
      <w:pPr>
        <w:pStyle w:val="BodyText"/>
        <w:spacing w:before="12"/>
        <w:rPr>
          <w:sz w:val="23"/>
        </w:rPr>
      </w:pPr>
    </w:p>
    <w:p w:rsidR="006C64EB" w:rsidRDefault="006613EA">
      <w:pPr>
        <w:pStyle w:val="BodyText"/>
        <w:ind w:left="660" w:right="187" w:hanging="540"/>
      </w:pPr>
      <w:r>
        <w:t xml:space="preserve">Poole, J., Rife, J. C., Pearson, F., Moore, L., Reaves, A. M., &amp; Moore, W. (2013). Innovative social work field education in congregational and community-based settings serving persons fifty five+: An interdisciplinary training initiative for BSW and MSW Students. </w:t>
      </w:r>
      <w:r>
        <w:rPr>
          <w:i/>
        </w:rPr>
        <w:t>Social Work &amp; Christianity</w:t>
      </w:r>
      <w:r>
        <w:t xml:space="preserve">, </w:t>
      </w:r>
      <w:r>
        <w:rPr>
          <w:i/>
        </w:rPr>
        <w:t>40</w:t>
      </w:r>
      <w:r>
        <w:t>(4), 404-421.</w:t>
      </w:r>
    </w:p>
    <w:p w:rsidR="006C64EB" w:rsidRDefault="006C64EB">
      <w:pPr>
        <w:pStyle w:val="BodyText"/>
        <w:spacing w:before="1"/>
      </w:pPr>
    </w:p>
    <w:p w:rsidR="006C64EB" w:rsidRDefault="006613EA">
      <w:pPr>
        <w:pStyle w:val="BodyText"/>
        <w:ind w:left="659" w:right="331" w:hanging="540"/>
      </w:pPr>
      <w:r>
        <w:t xml:space="preserve">Smith, D., Cleak, H., &amp; Vreugdenhil, A. (2015). “What are they really doing?” An exploration of student learning activities in field placement. </w:t>
      </w:r>
      <w:r>
        <w:rPr>
          <w:i/>
        </w:rPr>
        <w:t>Australian Social Work</w:t>
      </w:r>
      <w:r>
        <w:t xml:space="preserve">, </w:t>
      </w:r>
      <w:r>
        <w:rPr>
          <w:i/>
        </w:rPr>
        <w:t>68</w:t>
      </w:r>
      <w:r>
        <w:t>(4), 515-531. doi:10.1080/0312407X.2014.960433</w:t>
      </w:r>
    </w:p>
    <w:p w:rsidR="006C64EB" w:rsidRDefault="006C64EB">
      <w:pPr>
        <w:pStyle w:val="BodyText"/>
      </w:pPr>
    </w:p>
    <w:p w:rsidR="006C64EB" w:rsidRDefault="006613EA">
      <w:pPr>
        <w:pStyle w:val="BodyText"/>
        <w:ind w:left="715" w:right="733" w:hanging="596"/>
      </w:pPr>
      <w:r>
        <w:t xml:space="preserve">Zeira, A., &amp; Schiff, M. (2014). Field education: A comparison of students' and novice social </w:t>
      </w:r>
      <w:r>
        <w:lastRenderedPageBreak/>
        <w:t xml:space="preserve">workers' perspectives. </w:t>
      </w:r>
      <w:r>
        <w:rPr>
          <w:i/>
        </w:rPr>
        <w:t>British Journal of Social Work</w:t>
      </w:r>
      <w:r>
        <w:t xml:space="preserve">, </w:t>
      </w:r>
      <w:r>
        <w:rPr>
          <w:i/>
        </w:rPr>
        <w:t>44</w:t>
      </w:r>
      <w:r>
        <w:t>(7), 1950-1966.</w:t>
      </w:r>
    </w:p>
    <w:p w:rsidR="006C64EB" w:rsidRDefault="006C64EB">
      <w:pPr>
        <w:pStyle w:val="BodyText"/>
        <w:spacing w:before="11"/>
        <w:rPr>
          <w:sz w:val="23"/>
        </w:rPr>
      </w:pPr>
    </w:p>
    <w:p w:rsidR="006C64EB" w:rsidRDefault="006613EA">
      <w:pPr>
        <w:pStyle w:val="BodyText"/>
        <w:ind w:left="715" w:right="132" w:hanging="596"/>
      </w:pPr>
      <w:r>
        <w:t xml:space="preserve">Zuchowski, I. (2016). Getting to know the context: The complexities of providing off-site supervision in social work practice learning. </w:t>
      </w:r>
      <w:r>
        <w:rPr>
          <w:i/>
        </w:rPr>
        <w:t>British Journal of Social Work</w:t>
      </w:r>
      <w:r>
        <w:t xml:space="preserve">, </w:t>
      </w:r>
      <w:r>
        <w:rPr>
          <w:i/>
        </w:rPr>
        <w:t>46</w:t>
      </w:r>
      <w:r>
        <w:t>(2), 409-426. doi:10.1093/bjsw/bcu133</w:t>
      </w:r>
    </w:p>
    <w:sectPr w:rsidR="006C64EB">
      <w:footerReference w:type="default" r:id="rId11"/>
      <w:pgSz w:w="12240" w:h="15840"/>
      <w:pgMar w:top="1500" w:right="1320" w:bottom="1940" w:left="1320" w:header="0" w:footer="17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FF5" w:rsidRDefault="00B16FF5">
      <w:r>
        <w:separator/>
      </w:r>
    </w:p>
  </w:endnote>
  <w:endnote w:type="continuationSeparator" w:id="0">
    <w:p w:rsidR="00B16FF5" w:rsidRDefault="00B1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EB" w:rsidRDefault="006613EA">
    <w:pPr>
      <w:pStyle w:val="BodyText"/>
      <w:spacing w:line="14" w:lineRule="auto"/>
      <w:rPr>
        <w:sz w:val="20"/>
      </w:rPr>
    </w:pPr>
    <w:r>
      <w:rPr>
        <w:noProof/>
        <w:lang w:eastAsia="ko-KR" w:bidi="ar-SA"/>
      </w:rPr>
      <mc:AlternateContent>
        <mc:Choice Requires="wps">
          <w:drawing>
            <wp:anchor distT="0" distB="0" distL="114300" distR="114300" simplePos="0" relativeHeight="503306936" behindDoc="1" locked="0" layoutInCell="1" allowOverlap="1">
              <wp:simplePos x="0" y="0"/>
              <wp:positionH relativeFrom="page">
                <wp:posOffset>1172845</wp:posOffset>
              </wp:positionH>
              <wp:positionV relativeFrom="page">
                <wp:posOffset>8782050</wp:posOffset>
              </wp:positionV>
              <wp:extent cx="749300" cy="194310"/>
              <wp:effectExtent l="127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EB" w:rsidRDefault="006613EA">
                          <w:pPr>
                            <w:pStyle w:val="BodyText"/>
                            <w:spacing w:before="10"/>
                            <w:ind w:left="20"/>
                            <w:rPr>
                              <w:rFonts w:ascii="Times New Roman"/>
                            </w:rPr>
                          </w:pPr>
                          <w:r>
                            <w:rPr>
                              <w:rFonts w:ascii="Times New Roman"/>
                              <w:color w:val="8496B0"/>
                            </w:rPr>
                            <w:t xml:space="preserve">08.14.18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margin-left:92.35pt;margin-top:691.5pt;width:59pt;height:15.3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" filled="f" stroked="f">
              <v:textbox inset="0,0,0,0">
                <w:txbxContent>
                  <w:p w:rsidR="006C64EB" w:rsidRDefault="006613EA">
                    <w:pPr>
                      <w:pStyle w:val="BodyText"/>
                      <w:spacing w:before="10"/>
                      <w:ind w:left="20"/>
                      <w:rPr>
                        <w:rFonts w:ascii="Times New Roman"/>
                      </w:rPr>
                    </w:pPr>
                    <w:r>
                      <w:rPr>
                        <w:rFonts w:ascii="Times New Roman"/>
                        <w:color w:val="8496B0"/>
                      </w:rPr>
                      <w:t xml:space="preserve">08.14.18 </w:t>
                    </w:r>
                  </w:p>
                </w:txbxContent>
              </v:textbox>
              <w10:wrap anchorx="page" anchory="page"/>
            </v:shape>
          </w:pict>
        </mc:Fallback>
      </mc:AlternateContent>
    </w:r>
    <w:r>
      <w:rPr>
        <w:noProof/>
        <w:lang w:eastAsia="ko-KR" w:bidi="ar-SA"/>
      </w:rPr>
      <mc:AlternateContent>
        <mc:Choice Requires="wps">
          <w:drawing>
            <wp:anchor distT="0" distB="0" distL="114300" distR="114300" simplePos="0" relativeHeight="503306960" behindDoc="1" locked="0" layoutInCell="1" allowOverlap="1">
              <wp:simplePos x="0" y="0"/>
              <wp:positionH relativeFrom="page">
                <wp:posOffset>5859145</wp:posOffset>
              </wp:positionH>
              <wp:positionV relativeFrom="page">
                <wp:posOffset>8782050</wp:posOffset>
              </wp:positionV>
              <wp:extent cx="845820" cy="194310"/>
              <wp:effectExtent l="127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EB" w:rsidRDefault="006613EA">
                          <w:pPr>
                            <w:pStyle w:val="BodyText"/>
                            <w:spacing w:before="10"/>
                            <w:ind w:left="20"/>
                            <w:rPr>
                              <w:rFonts w:ascii="Times New Roman"/>
                            </w:rPr>
                          </w:pPr>
                          <w:r>
                            <w:rPr>
                              <w:rFonts w:ascii="Times New Roman"/>
                              <w:color w:val="8496B0"/>
                            </w:rPr>
                            <w:t xml:space="preserve">Page </w:t>
                          </w:r>
                          <w:r>
                            <w:fldChar w:fldCharType="begin"/>
                          </w:r>
                          <w:r>
                            <w:rPr>
                              <w:rFonts w:ascii="Times New Roman"/>
                              <w:color w:val="323E4F"/>
                            </w:rPr>
                            <w:instrText xml:space="preserve"> PAGE </w:instrText>
                          </w:r>
                          <w:r>
                            <w:fldChar w:fldCharType="separate"/>
                          </w:r>
                          <w:r w:rsidR="00A23FC1">
                            <w:rPr>
                              <w:rFonts w:ascii="Times New Roman"/>
                              <w:noProof/>
                              <w:color w:val="323E4F"/>
                            </w:rPr>
                            <w:t>1</w:t>
                          </w:r>
                          <w:r>
                            <w:fldChar w:fldCharType="end"/>
                          </w:r>
                          <w:r>
                            <w:rPr>
                              <w:rFonts w:ascii="Times New Roman"/>
                              <w:color w:val="323E4F"/>
                            </w:rPr>
                            <w:t xml:space="preserve"> |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61.35pt;margin-top:691.5pt;width:66.6pt;height:15.3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yUsA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" filled="f" stroked="f">
              <v:textbox inset="0,0,0,0">
                <w:txbxContent>
                  <w:p w:rsidR="006C64EB" w:rsidRDefault="006613EA">
                    <w:pPr>
                      <w:pStyle w:val="BodyText"/>
                      <w:spacing w:before="10"/>
                      <w:ind w:left="20"/>
                      <w:rPr>
                        <w:rFonts w:ascii="Times New Roman"/>
                      </w:rPr>
                    </w:pPr>
                    <w:r>
                      <w:rPr>
                        <w:rFonts w:ascii="Times New Roman"/>
                        <w:color w:val="8496B0"/>
                      </w:rPr>
                      <w:t xml:space="preserve">Page </w:t>
                    </w:r>
                    <w:r>
                      <w:fldChar w:fldCharType="begin"/>
                    </w:r>
                    <w:r>
                      <w:rPr>
                        <w:rFonts w:ascii="Times New Roman"/>
                        <w:color w:val="323E4F"/>
                      </w:rPr>
                      <w:instrText xml:space="preserve"> PAGE </w:instrText>
                    </w:r>
                    <w:r>
                      <w:fldChar w:fldCharType="separate"/>
                    </w:r>
                    <w:r w:rsidR="00A23FC1">
                      <w:rPr>
                        <w:rFonts w:ascii="Times New Roman"/>
                        <w:noProof/>
                        <w:color w:val="323E4F"/>
                      </w:rPr>
                      <w:t>1</w:t>
                    </w:r>
                    <w:r>
                      <w:fldChar w:fldCharType="end"/>
                    </w:r>
                    <w:r>
                      <w:rPr>
                        <w:rFonts w:ascii="Times New Roman"/>
                        <w:color w:val="323E4F"/>
                      </w:rPr>
                      <w:t xml:space="preserve"> | 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EB" w:rsidRDefault="006613EA">
    <w:pPr>
      <w:pStyle w:val="BodyText"/>
      <w:spacing w:line="14" w:lineRule="auto"/>
      <w:rPr>
        <w:sz w:val="20"/>
      </w:rPr>
    </w:pPr>
    <w:r>
      <w:rPr>
        <w:noProof/>
        <w:lang w:eastAsia="ko-KR" w:bidi="ar-SA"/>
      </w:rPr>
      <mc:AlternateContent>
        <mc:Choice Requires="wps">
          <w:drawing>
            <wp:anchor distT="0" distB="0" distL="114300" distR="114300" simplePos="0" relativeHeight="503307032" behindDoc="1" locked="0" layoutInCell="1" allowOverlap="1">
              <wp:simplePos x="0" y="0"/>
              <wp:positionH relativeFrom="page">
                <wp:posOffset>901700</wp:posOffset>
              </wp:positionH>
              <wp:positionV relativeFrom="page">
                <wp:posOffset>8957310</wp:posOffset>
              </wp:positionV>
              <wp:extent cx="577850" cy="194310"/>
              <wp:effectExtent l="0" t="381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EB" w:rsidRDefault="006613EA">
                          <w:pPr>
                            <w:pStyle w:val="BodyText"/>
                            <w:spacing w:before="10"/>
                            <w:ind w:left="20"/>
                            <w:rPr>
                              <w:rFonts w:ascii="Times New Roman"/>
                            </w:rPr>
                          </w:pPr>
                          <w:r>
                            <w:rPr>
                              <w:rFonts w:ascii="Times New Roman"/>
                            </w:rPr>
                            <w:t>08.14.18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8" type="#_x0000_t202" style="position:absolute;margin-left:71pt;margin-top:705.3pt;width:45.5pt;height:15.3pt;z-index:-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Kl+sQIAAK8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" filled="f" stroked="f">
              <v:textbox inset="0,0,0,0">
                <w:txbxContent>
                  <w:p w:rsidR="006C64EB" w:rsidRDefault="006613EA">
                    <w:pPr>
                      <w:pStyle w:val="BodyText"/>
                      <w:spacing w:before="10"/>
                      <w:ind w:left="20"/>
                      <w:rPr>
                        <w:rFonts w:ascii="Times New Roman"/>
                      </w:rPr>
                    </w:pPr>
                    <w:r>
                      <w:rPr>
                        <w:rFonts w:ascii="Times New Roman"/>
                      </w:rPr>
                      <w:t>08.14.18</w:t>
                    </w:r>
                  </w:p>
                </w:txbxContent>
              </v:textbox>
              <w10:wrap anchorx="page" anchory="page"/>
            </v:shape>
          </w:pict>
        </mc:Fallback>
      </mc:AlternateContent>
    </w:r>
    <w:r>
      <w:rPr>
        <w:noProof/>
        <w:lang w:eastAsia="ko-KR" w:bidi="ar-SA"/>
      </w:rPr>
      <mc:AlternateContent>
        <mc:Choice Requires="wps">
          <w:drawing>
            <wp:anchor distT="0" distB="0" distL="114300" distR="114300" simplePos="0" relativeHeight="503306984" behindDoc="1" locked="0" layoutInCell="1" allowOverlap="1">
              <wp:simplePos x="0" y="0"/>
              <wp:positionH relativeFrom="page">
                <wp:posOffset>895985</wp:posOffset>
              </wp:positionH>
              <wp:positionV relativeFrom="page">
                <wp:posOffset>8778240</wp:posOffset>
              </wp:positionV>
              <wp:extent cx="5980430" cy="0"/>
              <wp:effectExtent l="10160" t="5715" r="1016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DADAD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F5FB7C"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91.2pt" to="541.45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" strokecolor="#dadada" strokeweight=".16969mm">
              <w10:wrap anchorx="page" anchory="page"/>
            </v:line>
          </w:pict>
        </mc:Fallback>
      </mc:AlternateContent>
    </w:r>
    <w:r>
      <w:rPr>
        <w:noProof/>
        <w:lang w:eastAsia="ko-KR" w:bidi="ar-SA"/>
      </w:rPr>
      <mc:AlternateContent>
        <mc:Choice Requires="wps">
          <w:drawing>
            <wp:anchor distT="0" distB="0" distL="114300" distR="114300" simplePos="0" relativeHeight="503307008" behindDoc="1" locked="0" layoutInCell="1" allowOverlap="1">
              <wp:simplePos x="0" y="0"/>
              <wp:positionH relativeFrom="page">
                <wp:posOffset>6125210</wp:posOffset>
              </wp:positionH>
              <wp:positionV relativeFrom="page">
                <wp:posOffset>8783955</wp:posOffset>
              </wp:positionV>
              <wp:extent cx="742950" cy="194310"/>
              <wp:effectExtent l="635" t="1905"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EB" w:rsidRDefault="006613EA">
                          <w:pPr>
                            <w:pStyle w:val="BodyText"/>
                            <w:spacing w:before="10"/>
                            <w:ind w:left="40"/>
                            <w:rPr>
                              <w:rFonts w:ascii="Times New Roman"/>
                            </w:rPr>
                          </w:pPr>
                          <w:r>
                            <w:fldChar w:fldCharType="begin"/>
                          </w:r>
                          <w:r>
                            <w:rPr>
                              <w:rFonts w:ascii="Times New Roman"/>
                            </w:rPr>
                            <w:instrText xml:space="preserve"> PAGE </w:instrText>
                          </w:r>
                          <w:r>
                            <w:fldChar w:fldCharType="separate"/>
                          </w:r>
                          <w:r w:rsidR="00A23FC1">
                            <w:rPr>
                              <w:rFonts w:ascii="Times New Roman"/>
                              <w:noProof/>
                            </w:rPr>
                            <w:t>13</w:t>
                          </w:r>
                          <w:r>
                            <w:fldChar w:fldCharType="end"/>
                          </w:r>
                          <w:r>
                            <w:rPr>
                              <w:rFonts w:ascii="Times New Roman"/>
                            </w:rPr>
                            <w:t xml:space="preserve"> | </w:t>
                          </w:r>
                          <w:r>
                            <w:rPr>
                              <w:rFonts w:ascii="Times New Roman"/>
                              <w:color w:val="808080"/>
                            </w:rPr>
                            <w:t xml:space="preserve">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482.3pt;margin-top:691.65pt;width:58.5pt;height:15.3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Qp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" filled="f" stroked="f">
              <v:textbox inset="0,0,0,0">
                <w:txbxContent>
                  <w:p w:rsidR="006C64EB" w:rsidRDefault="006613EA">
                    <w:pPr>
                      <w:pStyle w:val="BodyText"/>
                      <w:spacing w:before="10"/>
                      <w:ind w:left="40"/>
                      <w:rPr>
                        <w:rFonts w:ascii="Times New Roman"/>
                      </w:rPr>
                    </w:pPr>
                    <w:r>
                      <w:fldChar w:fldCharType="begin"/>
                    </w:r>
                    <w:r>
                      <w:rPr>
                        <w:rFonts w:ascii="Times New Roman"/>
                      </w:rPr>
                      <w:instrText xml:space="preserve"> PAGE </w:instrText>
                    </w:r>
                    <w:r>
                      <w:fldChar w:fldCharType="separate"/>
                    </w:r>
                    <w:r w:rsidR="00A23FC1">
                      <w:rPr>
                        <w:rFonts w:ascii="Times New Roman"/>
                        <w:noProof/>
                      </w:rPr>
                      <w:t>13</w:t>
                    </w:r>
                    <w:r>
                      <w:fldChar w:fldCharType="end"/>
                    </w:r>
                    <w:r>
                      <w:rPr>
                        <w:rFonts w:ascii="Times New Roman"/>
                      </w:rPr>
                      <w:t xml:space="preserve"> | </w:t>
                    </w:r>
                    <w:r>
                      <w:rPr>
                        <w:rFonts w:ascii="Times New Roman"/>
                        <w:color w:val="808080"/>
                      </w:rPr>
                      <w:t xml:space="preserve">Page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FF5" w:rsidRDefault="00B16FF5">
      <w:r>
        <w:separator/>
      </w:r>
    </w:p>
  </w:footnote>
  <w:footnote w:type="continuationSeparator" w:id="0">
    <w:p w:rsidR="00B16FF5" w:rsidRDefault="00B16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1B2"/>
    <w:multiLevelType w:val="hybridMultilevel"/>
    <w:tmpl w:val="3BEC533E"/>
    <w:lvl w:ilvl="0" w:tplc="C8CE16E6">
      <w:numFmt w:val="bullet"/>
      <w:lvlText w:val="•"/>
      <w:lvlJc w:val="left"/>
      <w:pPr>
        <w:ind w:left="280" w:hanging="161"/>
      </w:pPr>
      <w:rPr>
        <w:rFonts w:ascii="Calibri" w:eastAsia="Calibri" w:hAnsi="Calibri" w:cs="Calibri" w:hint="default"/>
        <w:i/>
        <w:w w:val="100"/>
        <w:sz w:val="22"/>
        <w:szCs w:val="22"/>
        <w:lang w:val="en-US" w:eastAsia="en-US" w:bidi="en-US"/>
      </w:rPr>
    </w:lvl>
    <w:lvl w:ilvl="1" w:tplc="B814803A">
      <w:numFmt w:val="bullet"/>
      <w:lvlText w:val="•"/>
      <w:lvlJc w:val="left"/>
      <w:pPr>
        <w:ind w:left="1212" w:hanging="161"/>
      </w:pPr>
      <w:rPr>
        <w:rFonts w:hint="default"/>
        <w:lang w:val="en-US" w:eastAsia="en-US" w:bidi="en-US"/>
      </w:rPr>
    </w:lvl>
    <w:lvl w:ilvl="2" w:tplc="CC8A7342">
      <w:numFmt w:val="bullet"/>
      <w:lvlText w:val="•"/>
      <w:lvlJc w:val="left"/>
      <w:pPr>
        <w:ind w:left="2144" w:hanging="161"/>
      </w:pPr>
      <w:rPr>
        <w:rFonts w:hint="default"/>
        <w:lang w:val="en-US" w:eastAsia="en-US" w:bidi="en-US"/>
      </w:rPr>
    </w:lvl>
    <w:lvl w:ilvl="3" w:tplc="0FF6980C">
      <w:numFmt w:val="bullet"/>
      <w:lvlText w:val="•"/>
      <w:lvlJc w:val="left"/>
      <w:pPr>
        <w:ind w:left="3076" w:hanging="161"/>
      </w:pPr>
      <w:rPr>
        <w:rFonts w:hint="default"/>
        <w:lang w:val="en-US" w:eastAsia="en-US" w:bidi="en-US"/>
      </w:rPr>
    </w:lvl>
    <w:lvl w:ilvl="4" w:tplc="6BE6ED68">
      <w:numFmt w:val="bullet"/>
      <w:lvlText w:val="•"/>
      <w:lvlJc w:val="left"/>
      <w:pPr>
        <w:ind w:left="4008" w:hanging="161"/>
      </w:pPr>
      <w:rPr>
        <w:rFonts w:hint="default"/>
        <w:lang w:val="en-US" w:eastAsia="en-US" w:bidi="en-US"/>
      </w:rPr>
    </w:lvl>
    <w:lvl w:ilvl="5" w:tplc="41F0072A">
      <w:numFmt w:val="bullet"/>
      <w:lvlText w:val="•"/>
      <w:lvlJc w:val="left"/>
      <w:pPr>
        <w:ind w:left="4940" w:hanging="161"/>
      </w:pPr>
      <w:rPr>
        <w:rFonts w:hint="default"/>
        <w:lang w:val="en-US" w:eastAsia="en-US" w:bidi="en-US"/>
      </w:rPr>
    </w:lvl>
    <w:lvl w:ilvl="6" w:tplc="35B23536">
      <w:numFmt w:val="bullet"/>
      <w:lvlText w:val="•"/>
      <w:lvlJc w:val="left"/>
      <w:pPr>
        <w:ind w:left="5872" w:hanging="161"/>
      </w:pPr>
      <w:rPr>
        <w:rFonts w:hint="default"/>
        <w:lang w:val="en-US" w:eastAsia="en-US" w:bidi="en-US"/>
      </w:rPr>
    </w:lvl>
    <w:lvl w:ilvl="7" w:tplc="E36A1A76">
      <w:numFmt w:val="bullet"/>
      <w:lvlText w:val="•"/>
      <w:lvlJc w:val="left"/>
      <w:pPr>
        <w:ind w:left="6804" w:hanging="161"/>
      </w:pPr>
      <w:rPr>
        <w:rFonts w:hint="default"/>
        <w:lang w:val="en-US" w:eastAsia="en-US" w:bidi="en-US"/>
      </w:rPr>
    </w:lvl>
    <w:lvl w:ilvl="8" w:tplc="981AA2CE">
      <w:numFmt w:val="bullet"/>
      <w:lvlText w:val="•"/>
      <w:lvlJc w:val="left"/>
      <w:pPr>
        <w:ind w:left="7736" w:hanging="161"/>
      </w:pPr>
      <w:rPr>
        <w:rFonts w:hint="default"/>
        <w:lang w:val="en-US" w:eastAsia="en-US" w:bidi="en-US"/>
      </w:rPr>
    </w:lvl>
  </w:abstractNum>
  <w:abstractNum w:abstractNumId="1">
    <w:nsid w:val="08585187"/>
    <w:multiLevelType w:val="hybridMultilevel"/>
    <w:tmpl w:val="F574E2FE"/>
    <w:lvl w:ilvl="0" w:tplc="C648652E">
      <w:numFmt w:val="bullet"/>
      <w:lvlText w:val="•"/>
      <w:lvlJc w:val="left"/>
      <w:pPr>
        <w:ind w:left="120" w:hanging="161"/>
      </w:pPr>
      <w:rPr>
        <w:rFonts w:ascii="Calibri" w:eastAsia="Calibri" w:hAnsi="Calibri" w:cs="Calibri" w:hint="default"/>
        <w:w w:val="100"/>
        <w:sz w:val="22"/>
        <w:szCs w:val="22"/>
        <w:lang w:val="en-US" w:eastAsia="en-US" w:bidi="en-US"/>
      </w:rPr>
    </w:lvl>
    <w:lvl w:ilvl="1" w:tplc="F662BAF2">
      <w:numFmt w:val="bullet"/>
      <w:lvlText w:val="•"/>
      <w:lvlJc w:val="left"/>
      <w:pPr>
        <w:ind w:left="1068" w:hanging="161"/>
      </w:pPr>
      <w:rPr>
        <w:rFonts w:hint="default"/>
        <w:lang w:val="en-US" w:eastAsia="en-US" w:bidi="en-US"/>
      </w:rPr>
    </w:lvl>
    <w:lvl w:ilvl="2" w:tplc="874A8F7C">
      <w:numFmt w:val="bullet"/>
      <w:lvlText w:val="•"/>
      <w:lvlJc w:val="left"/>
      <w:pPr>
        <w:ind w:left="2016" w:hanging="161"/>
      </w:pPr>
      <w:rPr>
        <w:rFonts w:hint="default"/>
        <w:lang w:val="en-US" w:eastAsia="en-US" w:bidi="en-US"/>
      </w:rPr>
    </w:lvl>
    <w:lvl w:ilvl="3" w:tplc="152826F0">
      <w:numFmt w:val="bullet"/>
      <w:lvlText w:val="•"/>
      <w:lvlJc w:val="left"/>
      <w:pPr>
        <w:ind w:left="2964" w:hanging="161"/>
      </w:pPr>
      <w:rPr>
        <w:rFonts w:hint="default"/>
        <w:lang w:val="en-US" w:eastAsia="en-US" w:bidi="en-US"/>
      </w:rPr>
    </w:lvl>
    <w:lvl w:ilvl="4" w:tplc="17FC60DA">
      <w:numFmt w:val="bullet"/>
      <w:lvlText w:val="•"/>
      <w:lvlJc w:val="left"/>
      <w:pPr>
        <w:ind w:left="3912" w:hanging="161"/>
      </w:pPr>
      <w:rPr>
        <w:rFonts w:hint="default"/>
        <w:lang w:val="en-US" w:eastAsia="en-US" w:bidi="en-US"/>
      </w:rPr>
    </w:lvl>
    <w:lvl w:ilvl="5" w:tplc="E83A8420">
      <w:numFmt w:val="bullet"/>
      <w:lvlText w:val="•"/>
      <w:lvlJc w:val="left"/>
      <w:pPr>
        <w:ind w:left="4860" w:hanging="161"/>
      </w:pPr>
      <w:rPr>
        <w:rFonts w:hint="default"/>
        <w:lang w:val="en-US" w:eastAsia="en-US" w:bidi="en-US"/>
      </w:rPr>
    </w:lvl>
    <w:lvl w:ilvl="6" w:tplc="213C46E2">
      <w:numFmt w:val="bullet"/>
      <w:lvlText w:val="•"/>
      <w:lvlJc w:val="left"/>
      <w:pPr>
        <w:ind w:left="5808" w:hanging="161"/>
      </w:pPr>
      <w:rPr>
        <w:rFonts w:hint="default"/>
        <w:lang w:val="en-US" w:eastAsia="en-US" w:bidi="en-US"/>
      </w:rPr>
    </w:lvl>
    <w:lvl w:ilvl="7" w:tplc="D2C69D26">
      <w:numFmt w:val="bullet"/>
      <w:lvlText w:val="•"/>
      <w:lvlJc w:val="left"/>
      <w:pPr>
        <w:ind w:left="6756" w:hanging="161"/>
      </w:pPr>
      <w:rPr>
        <w:rFonts w:hint="default"/>
        <w:lang w:val="en-US" w:eastAsia="en-US" w:bidi="en-US"/>
      </w:rPr>
    </w:lvl>
    <w:lvl w:ilvl="8" w:tplc="21200F5E">
      <w:numFmt w:val="bullet"/>
      <w:lvlText w:val="•"/>
      <w:lvlJc w:val="left"/>
      <w:pPr>
        <w:ind w:left="7704" w:hanging="161"/>
      </w:pPr>
      <w:rPr>
        <w:rFonts w:hint="default"/>
        <w:lang w:val="en-US" w:eastAsia="en-US" w:bidi="en-US"/>
      </w:rPr>
    </w:lvl>
  </w:abstractNum>
  <w:abstractNum w:abstractNumId="2">
    <w:nsid w:val="0A186E77"/>
    <w:multiLevelType w:val="hybridMultilevel"/>
    <w:tmpl w:val="3E048ABC"/>
    <w:lvl w:ilvl="0" w:tplc="D21866AE">
      <w:numFmt w:val="bullet"/>
      <w:lvlText w:val="•"/>
      <w:lvlJc w:val="left"/>
      <w:pPr>
        <w:ind w:left="280" w:hanging="161"/>
      </w:pPr>
      <w:rPr>
        <w:rFonts w:ascii="Calibri" w:eastAsia="Calibri" w:hAnsi="Calibri" w:cs="Calibri" w:hint="default"/>
        <w:i/>
        <w:w w:val="100"/>
        <w:sz w:val="22"/>
        <w:szCs w:val="22"/>
        <w:lang w:val="en-US" w:eastAsia="en-US" w:bidi="en-US"/>
      </w:rPr>
    </w:lvl>
    <w:lvl w:ilvl="1" w:tplc="7AD263B6">
      <w:numFmt w:val="bullet"/>
      <w:lvlText w:val="•"/>
      <w:lvlJc w:val="left"/>
      <w:pPr>
        <w:ind w:left="1212" w:hanging="161"/>
      </w:pPr>
      <w:rPr>
        <w:rFonts w:hint="default"/>
        <w:lang w:val="en-US" w:eastAsia="en-US" w:bidi="en-US"/>
      </w:rPr>
    </w:lvl>
    <w:lvl w:ilvl="2" w:tplc="C7F82814">
      <w:numFmt w:val="bullet"/>
      <w:lvlText w:val="•"/>
      <w:lvlJc w:val="left"/>
      <w:pPr>
        <w:ind w:left="2144" w:hanging="161"/>
      </w:pPr>
      <w:rPr>
        <w:rFonts w:hint="default"/>
        <w:lang w:val="en-US" w:eastAsia="en-US" w:bidi="en-US"/>
      </w:rPr>
    </w:lvl>
    <w:lvl w:ilvl="3" w:tplc="D6C84D1C">
      <w:numFmt w:val="bullet"/>
      <w:lvlText w:val="•"/>
      <w:lvlJc w:val="left"/>
      <w:pPr>
        <w:ind w:left="3076" w:hanging="161"/>
      </w:pPr>
      <w:rPr>
        <w:rFonts w:hint="default"/>
        <w:lang w:val="en-US" w:eastAsia="en-US" w:bidi="en-US"/>
      </w:rPr>
    </w:lvl>
    <w:lvl w:ilvl="4" w:tplc="93B86BA2">
      <w:numFmt w:val="bullet"/>
      <w:lvlText w:val="•"/>
      <w:lvlJc w:val="left"/>
      <w:pPr>
        <w:ind w:left="4008" w:hanging="161"/>
      </w:pPr>
      <w:rPr>
        <w:rFonts w:hint="default"/>
        <w:lang w:val="en-US" w:eastAsia="en-US" w:bidi="en-US"/>
      </w:rPr>
    </w:lvl>
    <w:lvl w:ilvl="5" w:tplc="AA12143A">
      <w:numFmt w:val="bullet"/>
      <w:lvlText w:val="•"/>
      <w:lvlJc w:val="left"/>
      <w:pPr>
        <w:ind w:left="4940" w:hanging="161"/>
      </w:pPr>
      <w:rPr>
        <w:rFonts w:hint="default"/>
        <w:lang w:val="en-US" w:eastAsia="en-US" w:bidi="en-US"/>
      </w:rPr>
    </w:lvl>
    <w:lvl w:ilvl="6" w:tplc="3F2627DC">
      <w:numFmt w:val="bullet"/>
      <w:lvlText w:val="•"/>
      <w:lvlJc w:val="left"/>
      <w:pPr>
        <w:ind w:left="5872" w:hanging="161"/>
      </w:pPr>
      <w:rPr>
        <w:rFonts w:hint="default"/>
        <w:lang w:val="en-US" w:eastAsia="en-US" w:bidi="en-US"/>
      </w:rPr>
    </w:lvl>
    <w:lvl w:ilvl="7" w:tplc="B1604E28">
      <w:numFmt w:val="bullet"/>
      <w:lvlText w:val="•"/>
      <w:lvlJc w:val="left"/>
      <w:pPr>
        <w:ind w:left="6804" w:hanging="161"/>
      </w:pPr>
      <w:rPr>
        <w:rFonts w:hint="default"/>
        <w:lang w:val="en-US" w:eastAsia="en-US" w:bidi="en-US"/>
      </w:rPr>
    </w:lvl>
    <w:lvl w:ilvl="8" w:tplc="C342693E">
      <w:numFmt w:val="bullet"/>
      <w:lvlText w:val="•"/>
      <w:lvlJc w:val="left"/>
      <w:pPr>
        <w:ind w:left="7736" w:hanging="161"/>
      </w:pPr>
      <w:rPr>
        <w:rFonts w:hint="default"/>
        <w:lang w:val="en-US" w:eastAsia="en-US" w:bidi="en-US"/>
      </w:rPr>
    </w:lvl>
  </w:abstractNum>
  <w:abstractNum w:abstractNumId="3">
    <w:nsid w:val="12962ADF"/>
    <w:multiLevelType w:val="hybridMultilevel"/>
    <w:tmpl w:val="B5FE673C"/>
    <w:lvl w:ilvl="0" w:tplc="C9A2E6BE">
      <w:numFmt w:val="bullet"/>
      <w:lvlText w:val="•"/>
      <w:lvlJc w:val="left"/>
      <w:pPr>
        <w:ind w:left="280" w:hanging="161"/>
      </w:pPr>
      <w:rPr>
        <w:rFonts w:ascii="Calibri" w:eastAsia="Calibri" w:hAnsi="Calibri" w:cs="Calibri" w:hint="default"/>
        <w:w w:val="100"/>
        <w:sz w:val="22"/>
        <w:szCs w:val="22"/>
        <w:lang w:val="en-US" w:eastAsia="en-US" w:bidi="en-US"/>
      </w:rPr>
    </w:lvl>
    <w:lvl w:ilvl="1" w:tplc="CEF66766">
      <w:numFmt w:val="bullet"/>
      <w:lvlText w:val="•"/>
      <w:lvlJc w:val="left"/>
      <w:pPr>
        <w:ind w:left="1212" w:hanging="161"/>
      </w:pPr>
      <w:rPr>
        <w:rFonts w:hint="default"/>
        <w:lang w:val="en-US" w:eastAsia="en-US" w:bidi="en-US"/>
      </w:rPr>
    </w:lvl>
    <w:lvl w:ilvl="2" w:tplc="40845908">
      <w:numFmt w:val="bullet"/>
      <w:lvlText w:val="•"/>
      <w:lvlJc w:val="left"/>
      <w:pPr>
        <w:ind w:left="2144" w:hanging="161"/>
      </w:pPr>
      <w:rPr>
        <w:rFonts w:hint="default"/>
        <w:lang w:val="en-US" w:eastAsia="en-US" w:bidi="en-US"/>
      </w:rPr>
    </w:lvl>
    <w:lvl w:ilvl="3" w:tplc="E2BAB02A">
      <w:numFmt w:val="bullet"/>
      <w:lvlText w:val="•"/>
      <w:lvlJc w:val="left"/>
      <w:pPr>
        <w:ind w:left="3076" w:hanging="161"/>
      </w:pPr>
      <w:rPr>
        <w:rFonts w:hint="default"/>
        <w:lang w:val="en-US" w:eastAsia="en-US" w:bidi="en-US"/>
      </w:rPr>
    </w:lvl>
    <w:lvl w:ilvl="4" w:tplc="B7E2E22E">
      <w:numFmt w:val="bullet"/>
      <w:lvlText w:val="•"/>
      <w:lvlJc w:val="left"/>
      <w:pPr>
        <w:ind w:left="4008" w:hanging="161"/>
      </w:pPr>
      <w:rPr>
        <w:rFonts w:hint="default"/>
        <w:lang w:val="en-US" w:eastAsia="en-US" w:bidi="en-US"/>
      </w:rPr>
    </w:lvl>
    <w:lvl w:ilvl="5" w:tplc="8FD45910">
      <w:numFmt w:val="bullet"/>
      <w:lvlText w:val="•"/>
      <w:lvlJc w:val="left"/>
      <w:pPr>
        <w:ind w:left="4940" w:hanging="161"/>
      </w:pPr>
      <w:rPr>
        <w:rFonts w:hint="default"/>
        <w:lang w:val="en-US" w:eastAsia="en-US" w:bidi="en-US"/>
      </w:rPr>
    </w:lvl>
    <w:lvl w:ilvl="6" w:tplc="4636F8A2">
      <w:numFmt w:val="bullet"/>
      <w:lvlText w:val="•"/>
      <w:lvlJc w:val="left"/>
      <w:pPr>
        <w:ind w:left="5872" w:hanging="161"/>
      </w:pPr>
      <w:rPr>
        <w:rFonts w:hint="default"/>
        <w:lang w:val="en-US" w:eastAsia="en-US" w:bidi="en-US"/>
      </w:rPr>
    </w:lvl>
    <w:lvl w:ilvl="7" w:tplc="176CC76C">
      <w:numFmt w:val="bullet"/>
      <w:lvlText w:val="•"/>
      <w:lvlJc w:val="left"/>
      <w:pPr>
        <w:ind w:left="6804" w:hanging="161"/>
      </w:pPr>
      <w:rPr>
        <w:rFonts w:hint="default"/>
        <w:lang w:val="en-US" w:eastAsia="en-US" w:bidi="en-US"/>
      </w:rPr>
    </w:lvl>
    <w:lvl w:ilvl="8" w:tplc="F9C455BC">
      <w:numFmt w:val="bullet"/>
      <w:lvlText w:val="•"/>
      <w:lvlJc w:val="left"/>
      <w:pPr>
        <w:ind w:left="7736" w:hanging="161"/>
      </w:pPr>
      <w:rPr>
        <w:rFonts w:hint="default"/>
        <w:lang w:val="en-US" w:eastAsia="en-US" w:bidi="en-US"/>
      </w:rPr>
    </w:lvl>
  </w:abstractNum>
  <w:abstractNum w:abstractNumId="4">
    <w:nsid w:val="15591C63"/>
    <w:multiLevelType w:val="hybridMultilevel"/>
    <w:tmpl w:val="51E6723E"/>
    <w:lvl w:ilvl="0" w:tplc="48BEFC7C">
      <w:numFmt w:val="bullet"/>
      <w:lvlText w:val="•"/>
      <w:lvlJc w:val="left"/>
      <w:pPr>
        <w:ind w:left="120" w:hanging="161"/>
      </w:pPr>
      <w:rPr>
        <w:rFonts w:ascii="Calibri" w:eastAsia="Calibri" w:hAnsi="Calibri" w:cs="Calibri" w:hint="default"/>
        <w:w w:val="100"/>
        <w:sz w:val="22"/>
        <w:szCs w:val="22"/>
        <w:lang w:val="en-US" w:eastAsia="en-US" w:bidi="en-US"/>
      </w:rPr>
    </w:lvl>
    <w:lvl w:ilvl="1" w:tplc="ED429E96">
      <w:numFmt w:val="bullet"/>
      <w:lvlText w:val="•"/>
      <w:lvlJc w:val="left"/>
      <w:pPr>
        <w:ind w:left="1068" w:hanging="161"/>
      </w:pPr>
      <w:rPr>
        <w:rFonts w:hint="default"/>
        <w:lang w:val="en-US" w:eastAsia="en-US" w:bidi="en-US"/>
      </w:rPr>
    </w:lvl>
    <w:lvl w:ilvl="2" w:tplc="5D38B80A">
      <w:numFmt w:val="bullet"/>
      <w:lvlText w:val="•"/>
      <w:lvlJc w:val="left"/>
      <w:pPr>
        <w:ind w:left="2016" w:hanging="161"/>
      </w:pPr>
      <w:rPr>
        <w:rFonts w:hint="default"/>
        <w:lang w:val="en-US" w:eastAsia="en-US" w:bidi="en-US"/>
      </w:rPr>
    </w:lvl>
    <w:lvl w:ilvl="3" w:tplc="1116BEE0">
      <w:numFmt w:val="bullet"/>
      <w:lvlText w:val="•"/>
      <w:lvlJc w:val="left"/>
      <w:pPr>
        <w:ind w:left="2964" w:hanging="161"/>
      </w:pPr>
      <w:rPr>
        <w:rFonts w:hint="default"/>
        <w:lang w:val="en-US" w:eastAsia="en-US" w:bidi="en-US"/>
      </w:rPr>
    </w:lvl>
    <w:lvl w:ilvl="4" w:tplc="0E927AD8">
      <w:numFmt w:val="bullet"/>
      <w:lvlText w:val="•"/>
      <w:lvlJc w:val="left"/>
      <w:pPr>
        <w:ind w:left="3912" w:hanging="161"/>
      </w:pPr>
      <w:rPr>
        <w:rFonts w:hint="default"/>
        <w:lang w:val="en-US" w:eastAsia="en-US" w:bidi="en-US"/>
      </w:rPr>
    </w:lvl>
    <w:lvl w:ilvl="5" w:tplc="4FD0444C">
      <w:numFmt w:val="bullet"/>
      <w:lvlText w:val="•"/>
      <w:lvlJc w:val="left"/>
      <w:pPr>
        <w:ind w:left="4860" w:hanging="161"/>
      </w:pPr>
      <w:rPr>
        <w:rFonts w:hint="default"/>
        <w:lang w:val="en-US" w:eastAsia="en-US" w:bidi="en-US"/>
      </w:rPr>
    </w:lvl>
    <w:lvl w:ilvl="6" w:tplc="93640E90">
      <w:numFmt w:val="bullet"/>
      <w:lvlText w:val="•"/>
      <w:lvlJc w:val="left"/>
      <w:pPr>
        <w:ind w:left="5808" w:hanging="161"/>
      </w:pPr>
      <w:rPr>
        <w:rFonts w:hint="default"/>
        <w:lang w:val="en-US" w:eastAsia="en-US" w:bidi="en-US"/>
      </w:rPr>
    </w:lvl>
    <w:lvl w:ilvl="7" w:tplc="1FC088E6">
      <w:numFmt w:val="bullet"/>
      <w:lvlText w:val="•"/>
      <w:lvlJc w:val="left"/>
      <w:pPr>
        <w:ind w:left="6756" w:hanging="161"/>
      </w:pPr>
      <w:rPr>
        <w:rFonts w:hint="default"/>
        <w:lang w:val="en-US" w:eastAsia="en-US" w:bidi="en-US"/>
      </w:rPr>
    </w:lvl>
    <w:lvl w:ilvl="8" w:tplc="667067D8">
      <w:numFmt w:val="bullet"/>
      <w:lvlText w:val="•"/>
      <w:lvlJc w:val="left"/>
      <w:pPr>
        <w:ind w:left="7704" w:hanging="161"/>
      </w:pPr>
      <w:rPr>
        <w:rFonts w:hint="default"/>
        <w:lang w:val="en-US" w:eastAsia="en-US" w:bidi="en-US"/>
      </w:rPr>
    </w:lvl>
  </w:abstractNum>
  <w:abstractNum w:abstractNumId="5">
    <w:nsid w:val="1A8E6D67"/>
    <w:multiLevelType w:val="hybridMultilevel"/>
    <w:tmpl w:val="A52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02973"/>
    <w:multiLevelType w:val="hybridMultilevel"/>
    <w:tmpl w:val="A32A1A9C"/>
    <w:lvl w:ilvl="0" w:tplc="48CE977A">
      <w:numFmt w:val="bullet"/>
      <w:lvlText w:val="•"/>
      <w:lvlJc w:val="left"/>
      <w:pPr>
        <w:ind w:left="120" w:hanging="161"/>
      </w:pPr>
      <w:rPr>
        <w:rFonts w:ascii="Calibri" w:eastAsia="Calibri" w:hAnsi="Calibri" w:cs="Calibri" w:hint="default"/>
        <w:w w:val="100"/>
        <w:sz w:val="22"/>
        <w:szCs w:val="22"/>
        <w:lang w:val="en-US" w:eastAsia="en-US" w:bidi="en-US"/>
      </w:rPr>
    </w:lvl>
    <w:lvl w:ilvl="1" w:tplc="D1BEF9D2">
      <w:numFmt w:val="bullet"/>
      <w:lvlText w:val="•"/>
      <w:lvlJc w:val="left"/>
      <w:pPr>
        <w:ind w:left="1068" w:hanging="161"/>
      </w:pPr>
      <w:rPr>
        <w:rFonts w:hint="default"/>
        <w:lang w:val="en-US" w:eastAsia="en-US" w:bidi="en-US"/>
      </w:rPr>
    </w:lvl>
    <w:lvl w:ilvl="2" w:tplc="92B815D0">
      <w:numFmt w:val="bullet"/>
      <w:lvlText w:val="•"/>
      <w:lvlJc w:val="left"/>
      <w:pPr>
        <w:ind w:left="2016" w:hanging="161"/>
      </w:pPr>
      <w:rPr>
        <w:rFonts w:hint="default"/>
        <w:lang w:val="en-US" w:eastAsia="en-US" w:bidi="en-US"/>
      </w:rPr>
    </w:lvl>
    <w:lvl w:ilvl="3" w:tplc="23525088">
      <w:numFmt w:val="bullet"/>
      <w:lvlText w:val="•"/>
      <w:lvlJc w:val="left"/>
      <w:pPr>
        <w:ind w:left="2964" w:hanging="161"/>
      </w:pPr>
      <w:rPr>
        <w:rFonts w:hint="default"/>
        <w:lang w:val="en-US" w:eastAsia="en-US" w:bidi="en-US"/>
      </w:rPr>
    </w:lvl>
    <w:lvl w:ilvl="4" w:tplc="07720F22">
      <w:numFmt w:val="bullet"/>
      <w:lvlText w:val="•"/>
      <w:lvlJc w:val="left"/>
      <w:pPr>
        <w:ind w:left="3912" w:hanging="161"/>
      </w:pPr>
      <w:rPr>
        <w:rFonts w:hint="default"/>
        <w:lang w:val="en-US" w:eastAsia="en-US" w:bidi="en-US"/>
      </w:rPr>
    </w:lvl>
    <w:lvl w:ilvl="5" w:tplc="FA58C1C4">
      <w:numFmt w:val="bullet"/>
      <w:lvlText w:val="•"/>
      <w:lvlJc w:val="left"/>
      <w:pPr>
        <w:ind w:left="4860" w:hanging="161"/>
      </w:pPr>
      <w:rPr>
        <w:rFonts w:hint="default"/>
        <w:lang w:val="en-US" w:eastAsia="en-US" w:bidi="en-US"/>
      </w:rPr>
    </w:lvl>
    <w:lvl w:ilvl="6" w:tplc="0DC80584">
      <w:numFmt w:val="bullet"/>
      <w:lvlText w:val="•"/>
      <w:lvlJc w:val="left"/>
      <w:pPr>
        <w:ind w:left="5808" w:hanging="161"/>
      </w:pPr>
      <w:rPr>
        <w:rFonts w:hint="default"/>
        <w:lang w:val="en-US" w:eastAsia="en-US" w:bidi="en-US"/>
      </w:rPr>
    </w:lvl>
    <w:lvl w:ilvl="7" w:tplc="E3526756">
      <w:numFmt w:val="bullet"/>
      <w:lvlText w:val="•"/>
      <w:lvlJc w:val="left"/>
      <w:pPr>
        <w:ind w:left="6756" w:hanging="161"/>
      </w:pPr>
      <w:rPr>
        <w:rFonts w:hint="default"/>
        <w:lang w:val="en-US" w:eastAsia="en-US" w:bidi="en-US"/>
      </w:rPr>
    </w:lvl>
    <w:lvl w:ilvl="8" w:tplc="B27CB1B4">
      <w:numFmt w:val="bullet"/>
      <w:lvlText w:val="•"/>
      <w:lvlJc w:val="left"/>
      <w:pPr>
        <w:ind w:left="7704" w:hanging="161"/>
      </w:pPr>
      <w:rPr>
        <w:rFonts w:hint="default"/>
        <w:lang w:val="en-US" w:eastAsia="en-US" w:bidi="en-US"/>
      </w:rPr>
    </w:lvl>
  </w:abstractNum>
  <w:abstractNum w:abstractNumId="7">
    <w:nsid w:val="2BA05AC0"/>
    <w:multiLevelType w:val="hybridMultilevel"/>
    <w:tmpl w:val="77F8FF64"/>
    <w:lvl w:ilvl="0" w:tplc="4D82D258">
      <w:numFmt w:val="bullet"/>
      <w:lvlText w:val="•"/>
      <w:lvlJc w:val="left"/>
      <w:pPr>
        <w:ind w:left="120" w:hanging="161"/>
      </w:pPr>
      <w:rPr>
        <w:rFonts w:ascii="Calibri" w:eastAsia="Calibri" w:hAnsi="Calibri" w:cs="Calibri" w:hint="default"/>
        <w:w w:val="100"/>
        <w:sz w:val="22"/>
        <w:szCs w:val="22"/>
        <w:lang w:val="en-US" w:eastAsia="en-US" w:bidi="en-US"/>
      </w:rPr>
    </w:lvl>
    <w:lvl w:ilvl="1" w:tplc="130C29C4">
      <w:numFmt w:val="bullet"/>
      <w:lvlText w:val="•"/>
      <w:lvlJc w:val="left"/>
      <w:pPr>
        <w:ind w:left="1068" w:hanging="161"/>
      </w:pPr>
      <w:rPr>
        <w:rFonts w:hint="default"/>
        <w:lang w:val="en-US" w:eastAsia="en-US" w:bidi="en-US"/>
      </w:rPr>
    </w:lvl>
    <w:lvl w:ilvl="2" w:tplc="D30645AA">
      <w:numFmt w:val="bullet"/>
      <w:lvlText w:val="•"/>
      <w:lvlJc w:val="left"/>
      <w:pPr>
        <w:ind w:left="2016" w:hanging="161"/>
      </w:pPr>
      <w:rPr>
        <w:rFonts w:hint="default"/>
        <w:lang w:val="en-US" w:eastAsia="en-US" w:bidi="en-US"/>
      </w:rPr>
    </w:lvl>
    <w:lvl w:ilvl="3" w:tplc="F2DEF2D2">
      <w:numFmt w:val="bullet"/>
      <w:lvlText w:val="•"/>
      <w:lvlJc w:val="left"/>
      <w:pPr>
        <w:ind w:left="2964" w:hanging="161"/>
      </w:pPr>
      <w:rPr>
        <w:rFonts w:hint="default"/>
        <w:lang w:val="en-US" w:eastAsia="en-US" w:bidi="en-US"/>
      </w:rPr>
    </w:lvl>
    <w:lvl w:ilvl="4" w:tplc="0750C922">
      <w:numFmt w:val="bullet"/>
      <w:lvlText w:val="•"/>
      <w:lvlJc w:val="left"/>
      <w:pPr>
        <w:ind w:left="3912" w:hanging="161"/>
      </w:pPr>
      <w:rPr>
        <w:rFonts w:hint="default"/>
        <w:lang w:val="en-US" w:eastAsia="en-US" w:bidi="en-US"/>
      </w:rPr>
    </w:lvl>
    <w:lvl w:ilvl="5" w:tplc="C186BB58">
      <w:numFmt w:val="bullet"/>
      <w:lvlText w:val="•"/>
      <w:lvlJc w:val="left"/>
      <w:pPr>
        <w:ind w:left="4860" w:hanging="161"/>
      </w:pPr>
      <w:rPr>
        <w:rFonts w:hint="default"/>
        <w:lang w:val="en-US" w:eastAsia="en-US" w:bidi="en-US"/>
      </w:rPr>
    </w:lvl>
    <w:lvl w:ilvl="6" w:tplc="A662A9AA">
      <w:numFmt w:val="bullet"/>
      <w:lvlText w:val="•"/>
      <w:lvlJc w:val="left"/>
      <w:pPr>
        <w:ind w:left="5808" w:hanging="161"/>
      </w:pPr>
      <w:rPr>
        <w:rFonts w:hint="default"/>
        <w:lang w:val="en-US" w:eastAsia="en-US" w:bidi="en-US"/>
      </w:rPr>
    </w:lvl>
    <w:lvl w:ilvl="7" w:tplc="822C5C82">
      <w:numFmt w:val="bullet"/>
      <w:lvlText w:val="•"/>
      <w:lvlJc w:val="left"/>
      <w:pPr>
        <w:ind w:left="6756" w:hanging="161"/>
      </w:pPr>
      <w:rPr>
        <w:rFonts w:hint="default"/>
        <w:lang w:val="en-US" w:eastAsia="en-US" w:bidi="en-US"/>
      </w:rPr>
    </w:lvl>
    <w:lvl w:ilvl="8" w:tplc="67246D82">
      <w:numFmt w:val="bullet"/>
      <w:lvlText w:val="•"/>
      <w:lvlJc w:val="left"/>
      <w:pPr>
        <w:ind w:left="7704" w:hanging="161"/>
      </w:pPr>
      <w:rPr>
        <w:rFonts w:hint="default"/>
        <w:lang w:val="en-US" w:eastAsia="en-US" w:bidi="en-US"/>
      </w:rPr>
    </w:lvl>
  </w:abstractNum>
  <w:abstractNum w:abstractNumId="8">
    <w:nsid w:val="309C149A"/>
    <w:multiLevelType w:val="hybridMultilevel"/>
    <w:tmpl w:val="23FE27BC"/>
    <w:lvl w:ilvl="0" w:tplc="99C20C9E">
      <w:numFmt w:val="bullet"/>
      <w:lvlText w:val="•"/>
      <w:lvlJc w:val="left"/>
      <w:pPr>
        <w:ind w:left="120" w:hanging="161"/>
      </w:pPr>
      <w:rPr>
        <w:rFonts w:ascii="Calibri" w:eastAsia="Calibri" w:hAnsi="Calibri" w:cs="Calibri" w:hint="default"/>
        <w:b/>
        <w:bCs/>
        <w:w w:val="100"/>
        <w:sz w:val="22"/>
        <w:szCs w:val="22"/>
        <w:lang w:val="en-US" w:eastAsia="en-US" w:bidi="en-US"/>
      </w:rPr>
    </w:lvl>
    <w:lvl w:ilvl="1" w:tplc="7B563596">
      <w:numFmt w:val="bullet"/>
      <w:lvlText w:val="•"/>
      <w:lvlJc w:val="left"/>
      <w:pPr>
        <w:ind w:left="1068" w:hanging="161"/>
      </w:pPr>
      <w:rPr>
        <w:rFonts w:hint="default"/>
        <w:lang w:val="en-US" w:eastAsia="en-US" w:bidi="en-US"/>
      </w:rPr>
    </w:lvl>
    <w:lvl w:ilvl="2" w:tplc="0554D36A">
      <w:numFmt w:val="bullet"/>
      <w:lvlText w:val="•"/>
      <w:lvlJc w:val="left"/>
      <w:pPr>
        <w:ind w:left="2016" w:hanging="161"/>
      </w:pPr>
      <w:rPr>
        <w:rFonts w:hint="default"/>
        <w:lang w:val="en-US" w:eastAsia="en-US" w:bidi="en-US"/>
      </w:rPr>
    </w:lvl>
    <w:lvl w:ilvl="3" w:tplc="48CE98D2">
      <w:numFmt w:val="bullet"/>
      <w:lvlText w:val="•"/>
      <w:lvlJc w:val="left"/>
      <w:pPr>
        <w:ind w:left="2964" w:hanging="161"/>
      </w:pPr>
      <w:rPr>
        <w:rFonts w:hint="default"/>
        <w:lang w:val="en-US" w:eastAsia="en-US" w:bidi="en-US"/>
      </w:rPr>
    </w:lvl>
    <w:lvl w:ilvl="4" w:tplc="543E4E54">
      <w:numFmt w:val="bullet"/>
      <w:lvlText w:val="•"/>
      <w:lvlJc w:val="left"/>
      <w:pPr>
        <w:ind w:left="3912" w:hanging="161"/>
      </w:pPr>
      <w:rPr>
        <w:rFonts w:hint="default"/>
        <w:lang w:val="en-US" w:eastAsia="en-US" w:bidi="en-US"/>
      </w:rPr>
    </w:lvl>
    <w:lvl w:ilvl="5" w:tplc="5164C762">
      <w:numFmt w:val="bullet"/>
      <w:lvlText w:val="•"/>
      <w:lvlJc w:val="left"/>
      <w:pPr>
        <w:ind w:left="4860" w:hanging="161"/>
      </w:pPr>
      <w:rPr>
        <w:rFonts w:hint="default"/>
        <w:lang w:val="en-US" w:eastAsia="en-US" w:bidi="en-US"/>
      </w:rPr>
    </w:lvl>
    <w:lvl w:ilvl="6" w:tplc="6E763998">
      <w:numFmt w:val="bullet"/>
      <w:lvlText w:val="•"/>
      <w:lvlJc w:val="left"/>
      <w:pPr>
        <w:ind w:left="5808" w:hanging="161"/>
      </w:pPr>
      <w:rPr>
        <w:rFonts w:hint="default"/>
        <w:lang w:val="en-US" w:eastAsia="en-US" w:bidi="en-US"/>
      </w:rPr>
    </w:lvl>
    <w:lvl w:ilvl="7" w:tplc="F4C4A1DA">
      <w:numFmt w:val="bullet"/>
      <w:lvlText w:val="•"/>
      <w:lvlJc w:val="left"/>
      <w:pPr>
        <w:ind w:left="6756" w:hanging="161"/>
      </w:pPr>
      <w:rPr>
        <w:rFonts w:hint="default"/>
        <w:lang w:val="en-US" w:eastAsia="en-US" w:bidi="en-US"/>
      </w:rPr>
    </w:lvl>
    <w:lvl w:ilvl="8" w:tplc="9B5812B4">
      <w:numFmt w:val="bullet"/>
      <w:lvlText w:val="•"/>
      <w:lvlJc w:val="left"/>
      <w:pPr>
        <w:ind w:left="7704" w:hanging="161"/>
      </w:pPr>
      <w:rPr>
        <w:rFonts w:hint="default"/>
        <w:lang w:val="en-US" w:eastAsia="en-US" w:bidi="en-US"/>
      </w:rPr>
    </w:lvl>
  </w:abstractNum>
  <w:abstractNum w:abstractNumId="9">
    <w:nsid w:val="317756F1"/>
    <w:multiLevelType w:val="hybridMultilevel"/>
    <w:tmpl w:val="40EAD700"/>
    <w:lvl w:ilvl="0" w:tplc="B2F87DE4">
      <w:start w:val="1"/>
      <w:numFmt w:val="upperRoman"/>
      <w:lvlText w:val="%1."/>
      <w:lvlJc w:val="left"/>
      <w:pPr>
        <w:ind w:left="468" w:hanging="349"/>
        <w:jc w:val="right"/>
      </w:pPr>
      <w:rPr>
        <w:rFonts w:hint="default"/>
        <w:b/>
        <w:bCs/>
        <w:spacing w:val="-2"/>
        <w:w w:val="100"/>
        <w:lang w:val="en-US" w:eastAsia="en-US" w:bidi="en-US"/>
      </w:rPr>
    </w:lvl>
    <w:lvl w:ilvl="1" w:tplc="00F2BC08">
      <w:start w:val="1"/>
      <w:numFmt w:val="decimal"/>
      <w:lvlText w:val="%2."/>
      <w:lvlJc w:val="left"/>
      <w:pPr>
        <w:ind w:left="840" w:hanging="360"/>
      </w:pPr>
      <w:rPr>
        <w:rFonts w:ascii="Calibri" w:eastAsia="Calibri" w:hAnsi="Calibri" w:cs="Calibri" w:hint="default"/>
        <w:b/>
        <w:bCs/>
        <w:spacing w:val="-3"/>
        <w:w w:val="100"/>
        <w:sz w:val="24"/>
        <w:szCs w:val="24"/>
        <w:lang w:val="en-US" w:eastAsia="en-US" w:bidi="en-US"/>
      </w:rPr>
    </w:lvl>
    <w:lvl w:ilvl="2" w:tplc="05143852">
      <w:numFmt w:val="bullet"/>
      <w:lvlText w:val="•"/>
      <w:lvlJc w:val="left"/>
      <w:pPr>
        <w:ind w:left="1813" w:hanging="360"/>
      </w:pPr>
      <w:rPr>
        <w:rFonts w:hint="default"/>
        <w:lang w:val="en-US" w:eastAsia="en-US" w:bidi="en-US"/>
      </w:rPr>
    </w:lvl>
    <w:lvl w:ilvl="3" w:tplc="1F7430B2">
      <w:numFmt w:val="bullet"/>
      <w:lvlText w:val="•"/>
      <w:lvlJc w:val="left"/>
      <w:pPr>
        <w:ind w:left="2786" w:hanging="360"/>
      </w:pPr>
      <w:rPr>
        <w:rFonts w:hint="default"/>
        <w:lang w:val="en-US" w:eastAsia="en-US" w:bidi="en-US"/>
      </w:rPr>
    </w:lvl>
    <w:lvl w:ilvl="4" w:tplc="98D46124">
      <w:numFmt w:val="bullet"/>
      <w:lvlText w:val="•"/>
      <w:lvlJc w:val="left"/>
      <w:pPr>
        <w:ind w:left="3760" w:hanging="360"/>
      </w:pPr>
      <w:rPr>
        <w:rFonts w:hint="default"/>
        <w:lang w:val="en-US" w:eastAsia="en-US" w:bidi="en-US"/>
      </w:rPr>
    </w:lvl>
    <w:lvl w:ilvl="5" w:tplc="23189FD6">
      <w:numFmt w:val="bullet"/>
      <w:lvlText w:val="•"/>
      <w:lvlJc w:val="left"/>
      <w:pPr>
        <w:ind w:left="4733" w:hanging="360"/>
      </w:pPr>
      <w:rPr>
        <w:rFonts w:hint="default"/>
        <w:lang w:val="en-US" w:eastAsia="en-US" w:bidi="en-US"/>
      </w:rPr>
    </w:lvl>
    <w:lvl w:ilvl="6" w:tplc="7124E17E">
      <w:numFmt w:val="bullet"/>
      <w:lvlText w:val="•"/>
      <w:lvlJc w:val="left"/>
      <w:pPr>
        <w:ind w:left="5706" w:hanging="360"/>
      </w:pPr>
      <w:rPr>
        <w:rFonts w:hint="default"/>
        <w:lang w:val="en-US" w:eastAsia="en-US" w:bidi="en-US"/>
      </w:rPr>
    </w:lvl>
    <w:lvl w:ilvl="7" w:tplc="5C58F1CE">
      <w:numFmt w:val="bullet"/>
      <w:lvlText w:val="•"/>
      <w:lvlJc w:val="left"/>
      <w:pPr>
        <w:ind w:left="6680" w:hanging="360"/>
      </w:pPr>
      <w:rPr>
        <w:rFonts w:hint="default"/>
        <w:lang w:val="en-US" w:eastAsia="en-US" w:bidi="en-US"/>
      </w:rPr>
    </w:lvl>
    <w:lvl w:ilvl="8" w:tplc="162CF2D4">
      <w:numFmt w:val="bullet"/>
      <w:lvlText w:val="•"/>
      <w:lvlJc w:val="left"/>
      <w:pPr>
        <w:ind w:left="7653" w:hanging="360"/>
      </w:pPr>
      <w:rPr>
        <w:rFonts w:hint="default"/>
        <w:lang w:val="en-US" w:eastAsia="en-US" w:bidi="en-US"/>
      </w:rPr>
    </w:lvl>
  </w:abstractNum>
  <w:abstractNum w:abstractNumId="10">
    <w:nsid w:val="52A7103B"/>
    <w:multiLevelType w:val="hybridMultilevel"/>
    <w:tmpl w:val="BCE8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0738F"/>
    <w:multiLevelType w:val="hybridMultilevel"/>
    <w:tmpl w:val="2A3C95AC"/>
    <w:lvl w:ilvl="0" w:tplc="5814876E">
      <w:numFmt w:val="bullet"/>
      <w:lvlText w:val="•"/>
      <w:lvlJc w:val="left"/>
      <w:pPr>
        <w:ind w:left="280" w:hanging="161"/>
      </w:pPr>
      <w:rPr>
        <w:rFonts w:ascii="Calibri" w:eastAsia="Calibri" w:hAnsi="Calibri" w:cs="Calibri" w:hint="default"/>
        <w:b/>
        <w:bCs/>
        <w:w w:val="100"/>
        <w:sz w:val="22"/>
        <w:szCs w:val="22"/>
        <w:lang w:val="en-US" w:eastAsia="en-US" w:bidi="en-US"/>
      </w:rPr>
    </w:lvl>
    <w:lvl w:ilvl="1" w:tplc="17F69832">
      <w:numFmt w:val="bullet"/>
      <w:lvlText w:val="•"/>
      <w:lvlJc w:val="left"/>
      <w:pPr>
        <w:ind w:left="1212" w:hanging="161"/>
      </w:pPr>
      <w:rPr>
        <w:rFonts w:hint="default"/>
        <w:lang w:val="en-US" w:eastAsia="en-US" w:bidi="en-US"/>
      </w:rPr>
    </w:lvl>
    <w:lvl w:ilvl="2" w:tplc="66847174">
      <w:numFmt w:val="bullet"/>
      <w:lvlText w:val="•"/>
      <w:lvlJc w:val="left"/>
      <w:pPr>
        <w:ind w:left="2144" w:hanging="161"/>
      </w:pPr>
      <w:rPr>
        <w:rFonts w:hint="default"/>
        <w:lang w:val="en-US" w:eastAsia="en-US" w:bidi="en-US"/>
      </w:rPr>
    </w:lvl>
    <w:lvl w:ilvl="3" w:tplc="D1E4CDAC">
      <w:numFmt w:val="bullet"/>
      <w:lvlText w:val="•"/>
      <w:lvlJc w:val="left"/>
      <w:pPr>
        <w:ind w:left="3076" w:hanging="161"/>
      </w:pPr>
      <w:rPr>
        <w:rFonts w:hint="default"/>
        <w:lang w:val="en-US" w:eastAsia="en-US" w:bidi="en-US"/>
      </w:rPr>
    </w:lvl>
    <w:lvl w:ilvl="4" w:tplc="C63465E4">
      <w:numFmt w:val="bullet"/>
      <w:lvlText w:val="•"/>
      <w:lvlJc w:val="left"/>
      <w:pPr>
        <w:ind w:left="4008" w:hanging="161"/>
      </w:pPr>
      <w:rPr>
        <w:rFonts w:hint="default"/>
        <w:lang w:val="en-US" w:eastAsia="en-US" w:bidi="en-US"/>
      </w:rPr>
    </w:lvl>
    <w:lvl w:ilvl="5" w:tplc="39A0358E">
      <w:numFmt w:val="bullet"/>
      <w:lvlText w:val="•"/>
      <w:lvlJc w:val="left"/>
      <w:pPr>
        <w:ind w:left="4940" w:hanging="161"/>
      </w:pPr>
      <w:rPr>
        <w:rFonts w:hint="default"/>
        <w:lang w:val="en-US" w:eastAsia="en-US" w:bidi="en-US"/>
      </w:rPr>
    </w:lvl>
    <w:lvl w:ilvl="6" w:tplc="03A0643E">
      <w:numFmt w:val="bullet"/>
      <w:lvlText w:val="•"/>
      <w:lvlJc w:val="left"/>
      <w:pPr>
        <w:ind w:left="5872" w:hanging="161"/>
      </w:pPr>
      <w:rPr>
        <w:rFonts w:hint="default"/>
        <w:lang w:val="en-US" w:eastAsia="en-US" w:bidi="en-US"/>
      </w:rPr>
    </w:lvl>
    <w:lvl w:ilvl="7" w:tplc="F37EC446">
      <w:numFmt w:val="bullet"/>
      <w:lvlText w:val="•"/>
      <w:lvlJc w:val="left"/>
      <w:pPr>
        <w:ind w:left="6804" w:hanging="161"/>
      </w:pPr>
      <w:rPr>
        <w:rFonts w:hint="default"/>
        <w:lang w:val="en-US" w:eastAsia="en-US" w:bidi="en-US"/>
      </w:rPr>
    </w:lvl>
    <w:lvl w:ilvl="8" w:tplc="521A1740">
      <w:numFmt w:val="bullet"/>
      <w:lvlText w:val="•"/>
      <w:lvlJc w:val="left"/>
      <w:pPr>
        <w:ind w:left="7736" w:hanging="161"/>
      </w:pPr>
      <w:rPr>
        <w:rFonts w:hint="default"/>
        <w:lang w:val="en-US" w:eastAsia="en-US" w:bidi="en-US"/>
      </w:rPr>
    </w:lvl>
  </w:abstractNum>
  <w:abstractNum w:abstractNumId="12">
    <w:nsid w:val="695E0A99"/>
    <w:multiLevelType w:val="hybridMultilevel"/>
    <w:tmpl w:val="A6EC4D38"/>
    <w:lvl w:ilvl="0" w:tplc="ADD8C10E">
      <w:numFmt w:val="bullet"/>
      <w:lvlText w:val="•"/>
      <w:lvlJc w:val="left"/>
      <w:pPr>
        <w:ind w:left="120" w:hanging="161"/>
      </w:pPr>
      <w:rPr>
        <w:rFonts w:ascii="Calibri" w:eastAsia="Calibri" w:hAnsi="Calibri" w:cs="Calibri" w:hint="default"/>
        <w:w w:val="100"/>
        <w:sz w:val="22"/>
        <w:szCs w:val="22"/>
        <w:lang w:val="en-US" w:eastAsia="en-US" w:bidi="en-US"/>
      </w:rPr>
    </w:lvl>
    <w:lvl w:ilvl="1" w:tplc="E6AAB0AC">
      <w:numFmt w:val="bullet"/>
      <w:lvlText w:val="•"/>
      <w:lvlJc w:val="left"/>
      <w:pPr>
        <w:ind w:left="1068" w:hanging="161"/>
      </w:pPr>
      <w:rPr>
        <w:rFonts w:hint="default"/>
        <w:lang w:val="en-US" w:eastAsia="en-US" w:bidi="en-US"/>
      </w:rPr>
    </w:lvl>
    <w:lvl w:ilvl="2" w:tplc="54440BAA">
      <w:numFmt w:val="bullet"/>
      <w:lvlText w:val="•"/>
      <w:lvlJc w:val="left"/>
      <w:pPr>
        <w:ind w:left="2016" w:hanging="161"/>
      </w:pPr>
      <w:rPr>
        <w:rFonts w:hint="default"/>
        <w:lang w:val="en-US" w:eastAsia="en-US" w:bidi="en-US"/>
      </w:rPr>
    </w:lvl>
    <w:lvl w:ilvl="3" w:tplc="E3C6A69A">
      <w:numFmt w:val="bullet"/>
      <w:lvlText w:val="•"/>
      <w:lvlJc w:val="left"/>
      <w:pPr>
        <w:ind w:left="2964" w:hanging="161"/>
      </w:pPr>
      <w:rPr>
        <w:rFonts w:hint="default"/>
        <w:lang w:val="en-US" w:eastAsia="en-US" w:bidi="en-US"/>
      </w:rPr>
    </w:lvl>
    <w:lvl w:ilvl="4" w:tplc="E10AE112">
      <w:numFmt w:val="bullet"/>
      <w:lvlText w:val="•"/>
      <w:lvlJc w:val="left"/>
      <w:pPr>
        <w:ind w:left="3912" w:hanging="161"/>
      </w:pPr>
      <w:rPr>
        <w:rFonts w:hint="default"/>
        <w:lang w:val="en-US" w:eastAsia="en-US" w:bidi="en-US"/>
      </w:rPr>
    </w:lvl>
    <w:lvl w:ilvl="5" w:tplc="FE5C9310">
      <w:numFmt w:val="bullet"/>
      <w:lvlText w:val="•"/>
      <w:lvlJc w:val="left"/>
      <w:pPr>
        <w:ind w:left="4860" w:hanging="161"/>
      </w:pPr>
      <w:rPr>
        <w:rFonts w:hint="default"/>
        <w:lang w:val="en-US" w:eastAsia="en-US" w:bidi="en-US"/>
      </w:rPr>
    </w:lvl>
    <w:lvl w:ilvl="6" w:tplc="4D06373A">
      <w:numFmt w:val="bullet"/>
      <w:lvlText w:val="•"/>
      <w:lvlJc w:val="left"/>
      <w:pPr>
        <w:ind w:left="5808" w:hanging="161"/>
      </w:pPr>
      <w:rPr>
        <w:rFonts w:hint="default"/>
        <w:lang w:val="en-US" w:eastAsia="en-US" w:bidi="en-US"/>
      </w:rPr>
    </w:lvl>
    <w:lvl w:ilvl="7" w:tplc="0CF43BBC">
      <w:numFmt w:val="bullet"/>
      <w:lvlText w:val="•"/>
      <w:lvlJc w:val="left"/>
      <w:pPr>
        <w:ind w:left="6756" w:hanging="161"/>
      </w:pPr>
      <w:rPr>
        <w:rFonts w:hint="default"/>
        <w:lang w:val="en-US" w:eastAsia="en-US" w:bidi="en-US"/>
      </w:rPr>
    </w:lvl>
    <w:lvl w:ilvl="8" w:tplc="0AF4A10E">
      <w:numFmt w:val="bullet"/>
      <w:lvlText w:val="•"/>
      <w:lvlJc w:val="left"/>
      <w:pPr>
        <w:ind w:left="7704" w:hanging="161"/>
      </w:pPr>
      <w:rPr>
        <w:rFonts w:hint="default"/>
        <w:lang w:val="en-US" w:eastAsia="en-US" w:bidi="en-US"/>
      </w:rPr>
    </w:lvl>
  </w:abstractNum>
  <w:abstractNum w:abstractNumId="13">
    <w:nsid w:val="78A2306B"/>
    <w:multiLevelType w:val="hybridMultilevel"/>
    <w:tmpl w:val="4AFC3838"/>
    <w:lvl w:ilvl="0" w:tplc="191227DE">
      <w:numFmt w:val="bullet"/>
      <w:lvlText w:val="•"/>
      <w:lvlJc w:val="left"/>
      <w:pPr>
        <w:ind w:left="280" w:hanging="161"/>
      </w:pPr>
      <w:rPr>
        <w:rFonts w:ascii="Calibri" w:eastAsia="Calibri" w:hAnsi="Calibri" w:cs="Calibri" w:hint="default"/>
        <w:b/>
        <w:bCs/>
        <w:w w:val="100"/>
        <w:sz w:val="22"/>
        <w:szCs w:val="22"/>
        <w:lang w:val="en-US" w:eastAsia="en-US" w:bidi="en-US"/>
      </w:rPr>
    </w:lvl>
    <w:lvl w:ilvl="1" w:tplc="D32A987A">
      <w:numFmt w:val="bullet"/>
      <w:lvlText w:val="•"/>
      <w:lvlJc w:val="left"/>
      <w:pPr>
        <w:ind w:left="1212" w:hanging="161"/>
      </w:pPr>
      <w:rPr>
        <w:rFonts w:hint="default"/>
        <w:lang w:val="en-US" w:eastAsia="en-US" w:bidi="en-US"/>
      </w:rPr>
    </w:lvl>
    <w:lvl w:ilvl="2" w:tplc="F9EA5286">
      <w:numFmt w:val="bullet"/>
      <w:lvlText w:val="•"/>
      <w:lvlJc w:val="left"/>
      <w:pPr>
        <w:ind w:left="2144" w:hanging="161"/>
      </w:pPr>
      <w:rPr>
        <w:rFonts w:hint="default"/>
        <w:lang w:val="en-US" w:eastAsia="en-US" w:bidi="en-US"/>
      </w:rPr>
    </w:lvl>
    <w:lvl w:ilvl="3" w:tplc="699A94C8">
      <w:numFmt w:val="bullet"/>
      <w:lvlText w:val="•"/>
      <w:lvlJc w:val="left"/>
      <w:pPr>
        <w:ind w:left="3076" w:hanging="161"/>
      </w:pPr>
      <w:rPr>
        <w:rFonts w:hint="default"/>
        <w:lang w:val="en-US" w:eastAsia="en-US" w:bidi="en-US"/>
      </w:rPr>
    </w:lvl>
    <w:lvl w:ilvl="4" w:tplc="49A84628">
      <w:numFmt w:val="bullet"/>
      <w:lvlText w:val="•"/>
      <w:lvlJc w:val="left"/>
      <w:pPr>
        <w:ind w:left="4008" w:hanging="161"/>
      </w:pPr>
      <w:rPr>
        <w:rFonts w:hint="default"/>
        <w:lang w:val="en-US" w:eastAsia="en-US" w:bidi="en-US"/>
      </w:rPr>
    </w:lvl>
    <w:lvl w:ilvl="5" w:tplc="C9206806">
      <w:numFmt w:val="bullet"/>
      <w:lvlText w:val="•"/>
      <w:lvlJc w:val="left"/>
      <w:pPr>
        <w:ind w:left="4940" w:hanging="161"/>
      </w:pPr>
      <w:rPr>
        <w:rFonts w:hint="default"/>
        <w:lang w:val="en-US" w:eastAsia="en-US" w:bidi="en-US"/>
      </w:rPr>
    </w:lvl>
    <w:lvl w:ilvl="6" w:tplc="066E26F2">
      <w:numFmt w:val="bullet"/>
      <w:lvlText w:val="•"/>
      <w:lvlJc w:val="left"/>
      <w:pPr>
        <w:ind w:left="5872" w:hanging="161"/>
      </w:pPr>
      <w:rPr>
        <w:rFonts w:hint="default"/>
        <w:lang w:val="en-US" w:eastAsia="en-US" w:bidi="en-US"/>
      </w:rPr>
    </w:lvl>
    <w:lvl w:ilvl="7" w:tplc="69FA3338">
      <w:numFmt w:val="bullet"/>
      <w:lvlText w:val="•"/>
      <w:lvlJc w:val="left"/>
      <w:pPr>
        <w:ind w:left="6804" w:hanging="161"/>
      </w:pPr>
      <w:rPr>
        <w:rFonts w:hint="default"/>
        <w:lang w:val="en-US" w:eastAsia="en-US" w:bidi="en-US"/>
      </w:rPr>
    </w:lvl>
    <w:lvl w:ilvl="8" w:tplc="76C604E6">
      <w:numFmt w:val="bullet"/>
      <w:lvlText w:val="•"/>
      <w:lvlJc w:val="left"/>
      <w:pPr>
        <w:ind w:left="7736" w:hanging="161"/>
      </w:pPr>
      <w:rPr>
        <w:rFonts w:hint="default"/>
        <w:lang w:val="en-US" w:eastAsia="en-US" w:bidi="en-US"/>
      </w:rPr>
    </w:lvl>
  </w:abstractNum>
  <w:num w:numId="1">
    <w:abstractNumId w:val="7"/>
  </w:num>
  <w:num w:numId="2">
    <w:abstractNumId w:val="11"/>
  </w:num>
  <w:num w:numId="3">
    <w:abstractNumId w:val="6"/>
  </w:num>
  <w:num w:numId="4">
    <w:abstractNumId w:val="13"/>
  </w:num>
  <w:num w:numId="5">
    <w:abstractNumId w:val="4"/>
  </w:num>
  <w:num w:numId="6">
    <w:abstractNumId w:val="8"/>
  </w:num>
  <w:num w:numId="7">
    <w:abstractNumId w:val="12"/>
  </w:num>
  <w:num w:numId="8">
    <w:abstractNumId w:val="2"/>
  </w:num>
  <w:num w:numId="9">
    <w:abstractNumId w:val="1"/>
  </w:num>
  <w:num w:numId="10">
    <w:abstractNumId w:val="0"/>
  </w:num>
  <w:num w:numId="11">
    <w:abstractNumId w:val="3"/>
  </w:num>
  <w:num w:numId="12">
    <w:abstractNumId w:val="9"/>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EB"/>
    <w:rsid w:val="00084CE3"/>
    <w:rsid w:val="001151C7"/>
    <w:rsid w:val="00477EE4"/>
    <w:rsid w:val="006613EA"/>
    <w:rsid w:val="006C64EB"/>
    <w:rsid w:val="007018A3"/>
    <w:rsid w:val="008B5CF8"/>
    <w:rsid w:val="00A23FC1"/>
    <w:rsid w:val="00AB4737"/>
    <w:rsid w:val="00B16FF5"/>
    <w:rsid w:val="00CF560F"/>
    <w:rsid w:val="00E660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659" w:hanging="720"/>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80" w:hanging="1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13EA"/>
    <w:pPr>
      <w:tabs>
        <w:tab w:val="center" w:pos="4680"/>
        <w:tab w:val="right" w:pos="9360"/>
      </w:tabs>
    </w:pPr>
  </w:style>
  <w:style w:type="character" w:customStyle="1" w:styleId="HeaderChar">
    <w:name w:val="Header Char"/>
    <w:basedOn w:val="DefaultParagraphFont"/>
    <w:link w:val="Header"/>
    <w:uiPriority w:val="99"/>
    <w:rsid w:val="006613EA"/>
    <w:rPr>
      <w:rFonts w:ascii="Calibri" w:eastAsia="Calibri" w:hAnsi="Calibri" w:cs="Calibri"/>
      <w:lang w:bidi="en-US"/>
    </w:rPr>
  </w:style>
  <w:style w:type="paragraph" w:styleId="Footer">
    <w:name w:val="footer"/>
    <w:basedOn w:val="Normal"/>
    <w:link w:val="FooterChar"/>
    <w:uiPriority w:val="99"/>
    <w:unhideWhenUsed/>
    <w:rsid w:val="006613EA"/>
    <w:pPr>
      <w:tabs>
        <w:tab w:val="center" w:pos="4680"/>
        <w:tab w:val="right" w:pos="9360"/>
      </w:tabs>
    </w:pPr>
  </w:style>
  <w:style w:type="character" w:customStyle="1" w:styleId="FooterChar">
    <w:name w:val="Footer Char"/>
    <w:basedOn w:val="DefaultParagraphFont"/>
    <w:link w:val="Footer"/>
    <w:uiPriority w:val="99"/>
    <w:rsid w:val="006613EA"/>
    <w:rPr>
      <w:rFonts w:ascii="Calibri" w:eastAsia="Calibri" w:hAnsi="Calibri" w:cs="Calibri"/>
      <w:lang w:bidi="en-US"/>
    </w:rPr>
  </w:style>
  <w:style w:type="character" w:styleId="Hyperlink">
    <w:name w:val="Hyperlink"/>
    <w:basedOn w:val="DefaultParagraphFont"/>
    <w:uiPriority w:val="99"/>
    <w:unhideWhenUsed/>
    <w:rsid w:val="00477E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659" w:hanging="720"/>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80" w:hanging="1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13EA"/>
    <w:pPr>
      <w:tabs>
        <w:tab w:val="center" w:pos="4680"/>
        <w:tab w:val="right" w:pos="9360"/>
      </w:tabs>
    </w:pPr>
  </w:style>
  <w:style w:type="character" w:customStyle="1" w:styleId="HeaderChar">
    <w:name w:val="Header Char"/>
    <w:basedOn w:val="DefaultParagraphFont"/>
    <w:link w:val="Header"/>
    <w:uiPriority w:val="99"/>
    <w:rsid w:val="006613EA"/>
    <w:rPr>
      <w:rFonts w:ascii="Calibri" w:eastAsia="Calibri" w:hAnsi="Calibri" w:cs="Calibri"/>
      <w:lang w:bidi="en-US"/>
    </w:rPr>
  </w:style>
  <w:style w:type="paragraph" w:styleId="Footer">
    <w:name w:val="footer"/>
    <w:basedOn w:val="Normal"/>
    <w:link w:val="FooterChar"/>
    <w:uiPriority w:val="99"/>
    <w:unhideWhenUsed/>
    <w:rsid w:val="006613EA"/>
    <w:pPr>
      <w:tabs>
        <w:tab w:val="center" w:pos="4680"/>
        <w:tab w:val="right" w:pos="9360"/>
      </w:tabs>
    </w:pPr>
  </w:style>
  <w:style w:type="character" w:customStyle="1" w:styleId="FooterChar">
    <w:name w:val="Footer Char"/>
    <w:basedOn w:val="DefaultParagraphFont"/>
    <w:link w:val="Footer"/>
    <w:uiPriority w:val="99"/>
    <w:rsid w:val="006613EA"/>
    <w:rPr>
      <w:rFonts w:ascii="Calibri" w:eastAsia="Calibri" w:hAnsi="Calibri" w:cs="Calibri"/>
      <w:lang w:bidi="en-US"/>
    </w:rPr>
  </w:style>
  <w:style w:type="character" w:styleId="Hyperlink">
    <w:name w:val="Hyperlink"/>
    <w:basedOn w:val="DefaultParagraphFont"/>
    <w:uiPriority w:val="99"/>
    <w:unhideWhenUsed/>
    <w:rsid w:val="00477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ayne.uakron.edu/dotAsset/552835.pdf" TargetMode="External"/><Relationship Id="rId4" Type="http://schemas.openxmlformats.org/officeDocument/2006/relationships/settings" Target="settings.xml"/><Relationship Id="rId9" Type="http://schemas.openxmlformats.org/officeDocument/2006/relationships/hyperlink" Target="http://www.socialworkers.org/pubs/code/co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34385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White,Naomi C</dc:creator>
  <cp:lastModifiedBy>0</cp:lastModifiedBy>
  <cp:revision>2</cp:revision>
  <dcterms:created xsi:type="dcterms:W3CDTF">2018-08-21T13:51:00Z</dcterms:created>
  <dcterms:modified xsi:type="dcterms:W3CDTF">2018-08-21T13:51:00Z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2017-04-20T00:00:00Z</vt:filetime>
  </property>
  <property fmtid="{D5CDD505-2E9C-101B-9397-08002B2CF9AE}" pid="3" name="Creator">
    <vt:lpwstr>Acrobat PDFMaker 11 for Word</vt:lpwstr>
  </property>
  <property fmtid="{D5CDD505-2E9C-101B-9397-08002B2CF9AE}" pid="4" name="LastSaved">
    <vt:filetime>2018-08-14T00:00:00Z</vt:filetime>
  </property>
</Properties>
</file>